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9378A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4BB5C84C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5FECB232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589F145F">
      <w:pPr>
        <w:spacing w:line="520" w:lineRule="exact"/>
        <w:jc w:val="center"/>
        <w:rPr>
          <w:rFonts w:ascii="方正黑体_GBK" w:eastAsia="方正黑体_GBK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关于征集专利成果转化专家志愿者的通知</w:t>
      </w:r>
    </w:p>
    <w:p w14:paraId="7F4E4F80">
      <w:pPr>
        <w:spacing w:line="520" w:lineRule="exact"/>
        <w:rPr>
          <w:rFonts w:ascii="方正仿宋_GBK" w:eastAsia="方正仿宋_GBK"/>
          <w:color w:val="auto"/>
          <w:sz w:val="32"/>
          <w:szCs w:val="32"/>
        </w:rPr>
      </w:pPr>
    </w:p>
    <w:p w14:paraId="5EF1DFF0">
      <w:pPr>
        <w:spacing w:line="520" w:lineRule="exact"/>
        <w:rPr>
          <w:rFonts w:hint="default" w:ascii="方正仿宋_GBK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各有关单位及个人：</w:t>
      </w:r>
    </w:p>
    <w:p w14:paraId="2CB06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更好地整合各方资源，搭建专利成果与产业应用之间的桥梁，发挥知识产权服务机构、专利转化专业人才助力科技创新与产业创新深度融合的支撑作用，打通专利转化“最后一公里”，共同助力专利成果高效转化，现面向社会征集专利成果转化专家志愿者，现将有关事项通知如下：</w:t>
      </w:r>
    </w:p>
    <w:p w14:paraId="5BD43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一、征集目的</w:t>
      </w:r>
    </w:p>
    <w:p w14:paraId="3A1D9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通过组建一支专业、权威、富有实践经验的专利成果转化专家志愿者队伍，为专利成果评估、筛选、推广、对接以及转化过程中的技术咨询、方案制定等提供智力支持和专业服务，加速专利成果从“纸面”落地到实际生产应用，提升专利成果的市场价值和社会效益，促进创新链与产业链的深度融合。</w:t>
      </w:r>
    </w:p>
    <w:p w14:paraId="40589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二、专家志愿者职责</w:t>
      </w:r>
    </w:p>
    <w:p w14:paraId="05A7E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专利评估与筛选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依据自身专业知识和行业经验，对各类专利成果进行技术先进性、可行性、市场潜力等方面的评估，筛选出具有较高转化价值和应用前景的专利项目，提供转化路径建议。</w:t>
      </w:r>
    </w:p>
    <w:p w14:paraId="63547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技术咨询与指导。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为专利权人、企业以及相关机构在专利成果转化过程中遇到的技术难题、工艺优化、产品升级等问题提供专业咨询服务和解决方案，提高转化成功率。</w:t>
      </w:r>
    </w:p>
    <w:p w14:paraId="1E7F6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三）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对接与合作促进。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利用行业资源和人脉网络，积极牵线搭桥，促进专利成果与企业、投资机构、科研机构等对接与合作，推动产学研服金深度融合，加速专利成果产业化进程。</w:t>
      </w:r>
    </w:p>
    <w:p w14:paraId="71FBD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四）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培训与宣传推广。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参与专利成果转化相关培训活动，为创新主体、企业管理人员、科技中介人员等提供专利知识、转化流程、政策解读等方面培训指导，提高全社会对专利成果转化的认知度和参与度；通过各种渠道宣传专利成果转化的成功案例和先进经验，营造良好氛围。</w:t>
      </w:r>
    </w:p>
    <w:p w14:paraId="06D5E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五）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政策建议与反馈。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关注专利成果转化领域政策动态和实际问题，收集并反馈相关政策在实施过程中的意见和建议，为政府部门制定更加科学、合理的专利成果转化政策提供参考依据。</w:t>
      </w:r>
    </w:p>
    <w:p w14:paraId="5F179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三、招募条件</w:t>
      </w:r>
    </w:p>
    <w:p w14:paraId="17975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专业背景与经验</w:t>
      </w:r>
    </w:p>
    <w:p w14:paraId="7ECDF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具有本科及以上学历，拥有机械工程、电子信息、生物医药、化工材料、人工智能、新能源等某一领域或多个领域的专业知识和深厚造诣。</w:t>
      </w:r>
    </w:p>
    <w:p w14:paraId="58894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在相关行业具有3年及以上的工作经验，熟悉该领域的技术研发、生产制造、市场应用等环节，具备较丰富的实践经验和行业洞察力。</w:t>
      </w:r>
    </w:p>
    <w:p w14:paraId="4920D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技术职称与资质</w:t>
      </w:r>
    </w:p>
    <w:p w14:paraId="3BF56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具有中级及以上专业技术职称，或拥有相关领域的执业资格证书、职业资格证书（如专利代理人资格证、技术经理人资格证、工程师资格证等），在行业内具有一定的知名度和影响力；其中，专利代理师实际撰写发明专利申请案30件以上，或实际撰写实用新型申请案50件以上；技术经理人服务技术转化项目3件以上。</w:t>
      </w:r>
    </w:p>
    <w:p w14:paraId="51E73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三）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专利成果转化经历</w:t>
      </w:r>
    </w:p>
    <w:p w14:paraId="63040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专利的创造、运用、保护和管理有深入的理解和实践经验，曾参与过专利成果转化项目，对专利成果的产业化流程、商业模式、市场推广等方面有实际操作经验，能够为其他专利成果转化项目提供切实可行的指导和建议。</w:t>
      </w:r>
    </w:p>
    <w:p w14:paraId="11F76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四）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沟通协作能力</w:t>
      </w:r>
    </w:p>
    <w:p w14:paraId="685BE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具备良好的沟通表达能力和团队协作精神，能够与不同背景的人员进行有效的交流与合作，包括专利权人、企业管理人员、科研人员、政府工作人员等，共同推动专利成果转化工作的顺利开展。</w:t>
      </w:r>
    </w:p>
    <w:p w14:paraId="2435E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五）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志愿服务意愿</w:t>
      </w:r>
    </w:p>
    <w:p w14:paraId="3C98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热心公益事业，具有强烈的社会责任感和奉献精神，愿意无偿为专利成果转化工作提供公益性专业服务和支持，遵守志愿者队伍的相关管理制度和工作要求。</w:t>
      </w:r>
    </w:p>
    <w:p w14:paraId="59F49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四、报名方式</w:t>
      </w:r>
    </w:p>
    <w:p w14:paraId="03C4A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一）填报相关资料。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请有意加入专利成果转化专家志愿者队伍的人员填写《专利成果转化专家志愿者报名表》（见附件），并附上个人简历、相关资质证书扫描件以及转化成果清单或专利申请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案件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撰写情况等证明材料。</w:t>
      </w:r>
    </w:p>
    <w:p w14:paraId="2F9DA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二）上传邮件。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将上述材料发送至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75508846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@qq.com，邮件主题请注明“专利成果转化专家志愿者报名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姓名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所在单位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专业领域”。</w:t>
      </w:r>
    </w:p>
    <w:p w14:paraId="36C96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三）截止时间。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报名截止日期为2025年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日，逾期将不再受理。</w:t>
      </w:r>
    </w:p>
    <w:p w14:paraId="66E63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五、审核与聘任</w:t>
      </w:r>
    </w:p>
    <w:p w14:paraId="1082A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（一）聘任审核。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组织专门审核小组，对报名人员资格条件、专业能力、行业经验等进行综合评审和筛选。</w:t>
      </w:r>
    </w:p>
    <w:p w14:paraId="5D5A2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（二）聘任管理</w:t>
      </w:r>
      <w:bookmarkStart w:id="0" w:name="_GoBack"/>
      <w:bookmarkEnd w:id="0"/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对于通过审核的专家志愿者，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在市市场监督管理局（知识产权局）官方网站进行公布，同时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颁发聘书，并纳入专利成果转化专家志愿者库进行统一管理。</w:t>
      </w:r>
    </w:p>
    <w:p w14:paraId="5D380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（三）聘期时间。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专家志愿者聘期为2年，期满后根据工作表现和双方意愿决定是否续聘。</w:t>
      </w:r>
    </w:p>
    <w:p w14:paraId="5DB8A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六、激励与保障措施</w:t>
      </w:r>
    </w:p>
    <w:p w14:paraId="5BA49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（一）培训与交流。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定期组织专家志愿者参加各类专业培训、学术交流活动，不断拓宽视野，提升专业知识水平和业务能力，增进同行之间的交流与合作。</w:t>
      </w:r>
    </w:p>
    <w:p w14:paraId="21AF0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（二）表彰与奖励。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对在专利成果转化工作中表现突出、成效显著的专家志愿者进行表彰和奖励，颁发荣誉证书，并在相关媒体上予以宣传报道，提升专利转化志愿者服务的知名度和影响力。</w:t>
      </w:r>
    </w:p>
    <w:p w14:paraId="40F2C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（三）信息支持。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为专家志愿者提供专利信息资源、行业动态资讯以及企业技术需求信息，帮助其更好地开展专利成果转化工作，实现精准对接。</w:t>
      </w:r>
    </w:p>
    <w:p w14:paraId="548DE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七、联系方式</w:t>
      </w:r>
    </w:p>
    <w:p w14:paraId="2FDD2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未尽事宜，请联系南京市市场监管局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知识产权局）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知识产权公共服务处。</w:t>
      </w:r>
    </w:p>
    <w:p w14:paraId="0907B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颜炎 余国权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84648874，84648804</w:t>
      </w:r>
    </w:p>
    <w:p w14:paraId="3AB44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1F08D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37AAA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南京市知识产权局</w:t>
      </w:r>
    </w:p>
    <w:p w14:paraId="5704D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2025年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1DC9DCCD">
      <w:pPr>
        <w:widowControl/>
        <w:jc w:val="left"/>
        <w:rPr>
          <w:rFonts w:ascii="方正仿宋_GBK" w:eastAsia="方正仿宋_GBK"/>
          <w:color w:val="auto"/>
          <w:sz w:val="32"/>
          <w:szCs w:val="32"/>
        </w:rPr>
      </w:pPr>
      <w:r>
        <w:rPr>
          <w:rFonts w:ascii="方正仿宋_GBK" w:eastAsia="方正仿宋_GBK"/>
          <w:color w:val="auto"/>
          <w:sz w:val="32"/>
          <w:szCs w:val="32"/>
        </w:rPr>
        <w:br w:type="page"/>
      </w:r>
    </w:p>
    <w:p w14:paraId="7CFAEDAC"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附件：</w:t>
      </w:r>
    </w:p>
    <w:p w14:paraId="26B36B9C">
      <w:pPr>
        <w:jc w:val="center"/>
        <w:rPr>
          <w:rFonts w:ascii="方正黑体_GBK" w:eastAsia="方正黑体_GBK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专利成果转化专家志愿者报名表</w:t>
      </w:r>
    </w:p>
    <w:tbl>
      <w:tblPr>
        <w:tblStyle w:val="3"/>
        <w:tblpPr w:leftFromText="180" w:rightFromText="180" w:vertAnchor="text" w:horzAnchor="margin" w:tblpX="-459" w:tblpY="125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217"/>
        <w:gridCol w:w="1217"/>
        <w:gridCol w:w="1217"/>
        <w:gridCol w:w="310"/>
        <w:gridCol w:w="1309"/>
        <w:gridCol w:w="2035"/>
      </w:tblGrid>
      <w:tr w14:paraId="07C2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 w14:paraId="325FDA3B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姓    名</w:t>
            </w:r>
          </w:p>
        </w:tc>
        <w:tc>
          <w:tcPr>
            <w:tcW w:w="1217" w:type="dxa"/>
            <w:vAlign w:val="center"/>
          </w:tcPr>
          <w:p w14:paraId="482F36B6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136655B7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性  别</w:t>
            </w:r>
          </w:p>
        </w:tc>
        <w:tc>
          <w:tcPr>
            <w:tcW w:w="1217" w:type="dxa"/>
            <w:vAlign w:val="center"/>
          </w:tcPr>
          <w:p w14:paraId="16F43184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3FCCF16B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2035" w:type="dxa"/>
            <w:vAlign w:val="center"/>
          </w:tcPr>
          <w:p w14:paraId="0EE932FB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 w14:paraId="0258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 w14:paraId="6572F28A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工作单位</w:t>
            </w:r>
          </w:p>
        </w:tc>
        <w:tc>
          <w:tcPr>
            <w:tcW w:w="3651" w:type="dxa"/>
            <w:gridSpan w:val="3"/>
            <w:vAlign w:val="center"/>
          </w:tcPr>
          <w:p w14:paraId="03DDC176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7B797A3E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专业技术职称（资质证书）</w:t>
            </w:r>
          </w:p>
        </w:tc>
        <w:tc>
          <w:tcPr>
            <w:tcW w:w="2035" w:type="dxa"/>
            <w:vAlign w:val="center"/>
          </w:tcPr>
          <w:p w14:paraId="6D8D7A57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 w14:paraId="63CD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 w14:paraId="65532B64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毕业学校及 学 历</w:t>
            </w:r>
          </w:p>
        </w:tc>
        <w:tc>
          <w:tcPr>
            <w:tcW w:w="3651" w:type="dxa"/>
            <w:gridSpan w:val="3"/>
            <w:vAlign w:val="center"/>
          </w:tcPr>
          <w:p w14:paraId="1B8D56BC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38DA9BB4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首次执业时    间</w:t>
            </w:r>
          </w:p>
        </w:tc>
        <w:tc>
          <w:tcPr>
            <w:tcW w:w="2035" w:type="dxa"/>
            <w:vAlign w:val="center"/>
          </w:tcPr>
          <w:p w14:paraId="43A35062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 w14:paraId="54F7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 w14:paraId="48BFE3C9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技术领域</w:t>
            </w:r>
          </w:p>
        </w:tc>
        <w:tc>
          <w:tcPr>
            <w:tcW w:w="7305" w:type="dxa"/>
            <w:gridSpan w:val="6"/>
            <w:vAlign w:val="center"/>
          </w:tcPr>
          <w:p w14:paraId="4C2E2D3B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 w14:paraId="34CD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 w14:paraId="20965BE1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专利成果情    况</w:t>
            </w:r>
          </w:p>
        </w:tc>
        <w:tc>
          <w:tcPr>
            <w:tcW w:w="7305" w:type="dxa"/>
            <w:gridSpan w:val="6"/>
            <w:vAlign w:val="center"/>
          </w:tcPr>
          <w:p w14:paraId="5540450D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（自有专利成果或者完成撰写专利申请案的情况）</w:t>
            </w:r>
          </w:p>
        </w:tc>
      </w:tr>
      <w:tr w14:paraId="0407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676" w:type="dxa"/>
            <w:vAlign w:val="center"/>
          </w:tcPr>
          <w:p w14:paraId="617383C5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参与专利成果转化项目经历</w:t>
            </w:r>
          </w:p>
        </w:tc>
        <w:tc>
          <w:tcPr>
            <w:tcW w:w="7305" w:type="dxa"/>
            <w:gridSpan w:val="6"/>
            <w:vAlign w:val="center"/>
          </w:tcPr>
          <w:p w14:paraId="1AD6310E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 w14:paraId="191E7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676" w:type="dxa"/>
            <w:vAlign w:val="center"/>
          </w:tcPr>
          <w:p w14:paraId="5D8E66AA">
            <w:pPr>
              <w:jc w:val="center"/>
              <w:rPr>
                <w:rFonts w:hint="eastAsia" w:ascii="方正仿宋_GBK" w:eastAsia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奖惩情况</w:t>
            </w:r>
          </w:p>
        </w:tc>
        <w:tc>
          <w:tcPr>
            <w:tcW w:w="7305" w:type="dxa"/>
            <w:gridSpan w:val="6"/>
            <w:vAlign w:val="center"/>
          </w:tcPr>
          <w:p w14:paraId="7C57B6F0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（自2022年1月1日以来，行业或行政奖惩情况）</w:t>
            </w:r>
          </w:p>
        </w:tc>
      </w:tr>
      <w:tr w14:paraId="0B7DE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 w14:paraId="29F1AF4F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2434" w:type="dxa"/>
            <w:gridSpan w:val="2"/>
            <w:vAlign w:val="center"/>
          </w:tcPr>
          <w:p w14:paraId="40135B06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722F9D9A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电子邮箱</w:t>
            </w:r>
          </w:p>
        </w:tc>
        <w:tc>
          <w:tcPr>
            <w:tcW w:w="3344" w:type="dxa"/>
            <w:gridSpan w:val="2"/>
            <w:vAlign w:val="center"/>
          </w:tcPr>
          <w:p w14:paraId="4CF08146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 w14:paraId="533D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 w14:paraId="51CA5E15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备    注</w:t>
            </w:r>
          </w:p>
        </w:tc>
        <w:tc>
          <w:tcPr>
            <w:tcW w:w="7305" w:type="dxa"/>
            <w:gridSpan w:val="6"/>
            <w:vAlign w:val="center"/>
          </w:tcPr>
          <w:p w14:paraId="12CB9C9C">
            <w:pPr>
              <w:jc w:val="center"/>
              <w:rPr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</w:tbl>
    <w:p w14:paraId="6A11E6AE">
      <w:pPr>
        <w:rPr>
          <w:rFonts w:ascii="方正仿宋_GBK" w:eastAsia="方正仿宋_GBK"/>
          <w:color w:val="auto"/>
          <w:sz w:val="32"/>
          <w:szCs w:val="32"/>
        </w:rPr>
      </w:pPr>
    </w:p>
    <w:p w14:paraId="0EB18353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5542"/>
    <w:rsid w:val="0023432A"/>
    <w:rsid w:val="00312DC3"/>
    <w:rsid w:val="006015CC"/>
    <w:rsid w:val="00727A02"/>
    <w:rsid w:val="00764A5B"/>
    <w:rsid w:val="0079709A"/>
    <w:rsid w:val="007F67A0"/>
    <w:rsid w:val="00855542"/>
    <w:rsid w:val="00A16711"/>
    <w:rsid w:val="00A3448B"/>
    <w:rsid w:val="00B833EF"/>
    <w:rsid w:val="00EB36AB"/>
    <w:rsid w:val="431B3D8C"/>
    <w:rsid w:val="4D49580D"/>
    <w:rsid w:val="728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2102</Words>
  <Characters>2144</Characters>
  <Lines>16</Lines>
  <Paragraphs>4</Paragraphs>
  <TotalTime>84</TotalTime>
  <ScaleCrop>false</ScaleCrop>
  <LinksUpToDate>false</LinksUpToDate>
  <CharactersWithSpaces>2191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2025-02-21T03:02:00Z</dcterms:created>
  <dc:creator>Administrator</dc:creator>
  <cp:lastModifiedBy>lgz</cp:lastModifiedBy>
  <cp:lastPrinted>2025-03-04T00:54:55Z</cp:lastPrinted>
  <dcterms:modified xsi:type="dcterms:W3CDTF">2025-03-04T00:55:57Z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eyJoZGlkIjoiZDZjZjIwMmI1Y2FjZmUxNjNkYmMxODJhM2E2YzIyZDkiLCJ1c2VySWQiOiI0NTg2Mzg5MzIifQ==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89136F4D97C04DCC97632D4CB0D6E67E_12</vt:lpwstr>
  </property>
</Properties>
</file>