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1DDF1C">
      <w:pPr>
        <w:overflowPunct w:val="0"/>
        <w:autoSpaceDE w:val="0"/>
        <w:autoSpaceDN w:val="0"/>
        <w:adjustRightInd w:val="0"/>
        <w:snapToGrid w:val="0"/>
        <w:spacing w:line="400" w:lineRule="atLeast"/>
        <w:jc w:val="center"/>
        <w:rPr>
          <w:rFonts w:hint="eastAsia" w:ascii="黑体" w:hAnsi="宋体" w:eastAsia="黑体"/>
          <w:sz w:val="32"/>
          <w:szCs w:val="32"/>
          <w:lang w:eastAsia="zh-CN"/>
        </w:rPr>
      </w:pPr>
      <w:bookmarkStart w:id="0" w:name="_GoBack"/>
      <w:bookmarkEnd w:id="0"/>
      <w:r>
        <w:rPr>
          <w:rFonts w:hint="eastAsia" w:ascii="黑体" w:hAnsi="宋体" w:eastAsia="黑体"/>
          <w:sz w:val="32"/>
          <w:szCs w:val="32"/>
          <w:lang w:val="en-US" w:eastAsia="zh-CN"/>
        </w:rPr>
        <w:t>南京市电热毯</w:t>
      </w:r>
      <w:r>
        <w:rPr>
          <w:rFonts w:hint="eastAsia" w:ascii="黑体" w:hAnsi="宋体" w:eastAsia="黑体"/>
          <w:sz w:val="32"/>
          <w:szCs w:val="32"/>
          <w:lang w:eastAsia="zh-CN"/>
        </w:rPr>
        <w:t>产品质量监督抽查实施细则</w:t>
      </w:r>
    </w:p>
    <w:p w14:paraId="4D3B8D62">
      <w:pPr>
        <w:overflowPunct w:val="0"/>
        <w:autoSpaceDE w:val="0"/>
        <w:autoSpaceDN w:val="0"/>
        <w:adjustRightInd w:val="0"/>
        <w:snapToGrid w:val="0"/>
        <w:spacing w:line="400" w:lineRule="atLeast"/>
        <w:jc w:val="center"/>
        <w:rPr>
          <w:rFonts w:hint="default" w:ascii="Times New Roman" w:hAnsi="Times New Roman" w:eastAsia="黑体" w:cs="Times New Roman"/>
          <w:sz w:val="32"/>
          <w:szCs w:val="32"/>
          <w:lang w:eastAsia="zh-CN"/>
        </w:rPr>
      </w:pPr>
      <w:r>
        <w:rPr>
          <w:rFonts w:hint="default" w:ascii="Times New Roman" w:hAnsi="Times New Roman" w:eastAsia="黑体" w:cs="Times New Roman"/>
          <w:sz w:val="32"/>
          <w:szCs w:val="32"/>
          <w:lang w:eastAsia="zh-CN"/>
        </w:rPr>
        <w:t>（</w:t>
      </w:r>
      <w:r>
        <w:rPr>
          <w:rFonts w:hint="default" w:ascii="Times New Roman" w:hAnsi="Times New Roman" w:eastAsia="黑体" w:cs="Times New Roman"/>
          <w:sz w:val="32"/>
          <w:szCs w:val="32"/>
          <w:lang w:val="en-US" w:eastAsia="zh-CN"/>
        </w:rPr>
        <w:t>2026版</w:t>
      </w:r>
      <w:r>
        <w:rPr>
          <w:rFonts w:hint="default" w:ascii="Times New Roman" w:hAnsi="Times New Roman" w:eastAsia="黑体" w:cs="Times New Roman"/>
          <w:sz w:val="32"/>
          <w:szCs w:val="32"/>
          <w:lang w:eastAsia="zh-CN"/>
        </w:rPr>
        <w:t>）</w:t>
      </w:r>
    </w:p>
    <w:p w14:paraId="1D6BCBE8">
      <w:pPr>
        <w:overflowPunct w:val="0"/>
        <w:autoSpaceDE w:val="0"/>
        <w:autoSpaceDN w:val="0"/>
        <w:adjustRightInd w:val="0"/>
        <w:snapToGrid w:val="0"/>
        <w:spacing w:line="400" w:lineRule="atLeast"/>
        <w:jc w:val="center"/>
        <w:rPr>
          <w:rFonts w:hint="eastAsia" w:ascii="黑体" w:hAnsi="宋体" w:eastAsia="黑体"/>
          <w:sz w:val="32"/>
          <w:szCs w:val="32"/>
        </w:rPr>
      </w:pPr>
    </w:p>
    <w:p w14:paraId="5D637D24">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黑体_GBK" w:hAnsi="方正仿宋_GBK" w:eastAsia="方正黑体_GBK" w:cs="方正仿宋_GBK"/>
          <w:kern w:val="0"/>
          <w:sz w:val="28"/>
          <w:szCs w:val="28"/>
          <w:shd w:val="clear" w:color="auto" w:fill="FFFFFF"/>
          <w:lang w:bidi="ar"/>
        </w:rPr>
      </w:pPr>
      <w:r>
        <w:rPr>
          <w:rFonts w:hint="eastAsia" w:ascii="方正黑体_GBK" w:hAnsi="方正仿宋_GBK" w:eastAsia="方正黑体_GBK" w:cs="方正仿宋_GBK"/>
          <w:kern w:val="0"/>
          <w:sz w:val="28"/>
          <w:szCs w:val="28"/>
          <w:shd w:val="clear" w:color="auto" w:fill="FFFFFF"/>
          <w:lang w:bidi="ar"/>
        </w:rPr>
        <w:t>1.范围</w:t>
      </w:r>
    </w:p>
    <w:p w14:paraId="2C8CBA8E">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本细则适用于</w:t>
      </w:r>
      <w:r>
        <w:rPr>
          <w:rFonts w:hint="eastAsia" w:ascii="方正仿宋_GBK" w:hAnsi="方正仿宋_GBK" w:eastAsia="方正仿宋_GBK" w:cs="方正仿宋_GBK"/>
          <w:sz w:val="28"/>
          <w:szCs w:val="28"/>
          <w:lang w:val="en-US" w:eastAsia="zh-CN"/>
        </w:rPr>
        <w:t>南京市电热毯</w:t>
      </w:r>
      <w:r>
        <w:rPr>
          <w:rFonts w:hint="eastAsia" w:ascii="方正仿宋_GBK" w:hAnsi="方正仿宋_GBK" w:eastAsia="方正仿宋_GBK" w:cs="方正仿宋_GBK"/>
          <w:sz w:val="28"/>
          <w:szCs w:val="28"/>
        </w:rPr>
        <w:t>产品质量监督抽查检验。本细则规定了此产品的抽样方法、检验依据、检验项目、检验方法、判定</w:t>
      </w:r>
      <w:r>
        <w:rPr>
          <w:rFonts w:hint="eastAsia" w:ascii="方正仿宋_GBK" w:hAnsi="方正仿宋_GBK" w:eastAsia="方正仿宋_GBK" w:cs="方正仿宋_GBK"/>
          <w:sz w:val="28"/>
          <w:szCs w:val="28"/>
          <w:lang w:eastAsia="zh-CN"/>
        </w:rPr>
        <w:t>规</w:t>
      </w:r>
      <w:r>
        <w:rPr>
          <w:rFonts w:hint="eastAsia" w:ascii="方正仿宋_GBK" w:hAnsi="方正仿宋_GBK" w:eastAsia="方正仿宋_GBK" w:cs="方正仿宋_GBK"/>
          <w:sz w:val="28"/>
          <w:szCs w:val="28"/>
        </w:rPr>
        <w:t>则。</w:t>
      </w:r>
    </w:p>
    <w:p w14:paraId="4F747C6B">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黑体_GBK" w:hAnsi="方正仿宋_GBK" w:eastAsia="方正黑体_GBK" w:cs="方正仿宋_GBK"/>
          <w:kern w:val="0"/>
          <w:sz w:val="28"/>
          <w:szCs w:val="28"/>
          <w:shd w:val="clear" w:color="auto" w:fill="FFFFFF"/>
          <w:lang w:bidi="ar"/>
        </w:rPr>
      </w:pPr>
      <w:r>
        <w:rPr>
          <w:rFonts w:hint="eastAsia" w:ascii="方正黑体_GBK" w:hAnsi="方正仿宋_GBK" w:eastAsia="方正黑体_GBK" w:cs="方正仿宋_GBK"/>
          <w:kern w:val="0"/>
          <w:sz w:val="28"/>
          <w:szCs w:val="28"/>
          <w:shd w:val="clear" w:color="auto" w:fill="FFFFFF"/>
          <w:lang w:bidi="ar"/>
        </w:rPr>
        <w:t>2.抽样方法</w:t>
      </w:r>
    </w:p>
    <w:p w14:paraId="68DD7CC0">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b/>
          <w:bCs/>
          <w:sz w:val="28"/>
          <w:szCs w:val="28"/>
          <w:lang w:val="en-US" w:eastAsia="zh-CN"/>
        </w:rPr>
      </w:pPr>
      <w:r>
        <w:rPr>
          <w:rFonts w:hint="default" w:ascii="Times New Roman" w:hAnsi="Times New Roman" w:eastAsia="方正仿宋_GBK" w:cs="Times New Roman"/>
          <w:b/>
          <w:bCs/>
          <w:sz w:val="28"/>
          <w:szCs w:val="28"/>
          <w:lang w:val="en-US" w:eastAsia="zh-CN"/>
        </w:rPr>
        <w:t>2.1</w:t>
      </w:r>
      <w:r>
        <w:rPr>
          <w:rFonts w:hint="eastAsia" w:ascii="方正仿宋_GBK" w:hAnsi="方正仿宋_GBK" w:eastAsia="方正仿宋_GBK" w:cs="方正仿宋_GBK"/>
          <w:b/>
          <w:bCs/>
          <w:sz w:val="28"/>
          <w:szCs w:val="28"/>
          <w:lang w:val="en-US" w:eastAsia="zh-CN"/>
        </w:rPr>
        <w:t>生产企业、实体店抽样</w:t>
      </w:r>
    </w:p>
    <w:p w14:paraId="280630E2">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以随机抽样的方式在被抽样生产者、销售者的待销产品中抽取。随机数一般可使用随机数表等方法产生。每批次产品抽取样品</w:t>
      </w:r>
      <w:r>
        <w:rPr>
          <w:rFonts w:hint="eastAsia" w:ascii="方正仿宋_GBK" w:hAnsi="方正仿宋_GBK" w:eastAsia="方正仿宋_GBK" w:cs="方正仿宋_GBK"/>
          <w:sz w:val="28"/>
          <w:szCs w:val="28"/>
          <w:lang w:val="en-US" w:eastAsia="zh-CN"/>
        </w:rPr>
        <w:t>4床</w:t>
      </w:r>
      <w:r>
        <w:rPr>
          <w:rFonts w:hint="eastAsia" w:ascii="方正仿宋_GBK" w:hAnsi="方正仿宋_GBK" w:eastAsia="方正仿宋_GBK" w:cs="方正仿宋_GBK"/>
          <w:sz w:val="28"/>
          <w:szCs w:val="28"/>
        </w:rPr>
        <w:t>，</w:t>
      </w:r>
      <w:r>
        <w:rPr>
          <w:rFonts w:hint="eastAsia" w:ascii="方正仿宋_GBK" w:hAnsi="方正仿宋_GBK" w:eastAsia="方正仿宋_GBK" w:cs="方正仿宋_GBK"/>
          <w:sz w:val="28"/>
          <w:szCs w:val="28"/>
          <w:lang w:val="en-US" w:eastAsia="zh-CN"/>
        </w:rPr>
        <w:t>其中2床作为检样样品，2床作为备用样品</w:t>
      </w:r>
      <w:r>
        <w:rPr>
          <w:rFonts w:hint="eastAsia" w:ascii="方正仿宋_GBK" w:hAnsi="方正仿宋_GBK" w:eastAsia="方正仿宋_GBK" w:cs="方正仿宋_GBK"/>
          <w:sz w:val="28"/>
          <w:szCs w:val="28"/>
        </w:rPr>
        <w:t>。</w:t>
      </w:r>
    </w:p>
    <w:p w14:paraId="1A6D6AE6">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仿宋_GB2312" w:hAnsi="仿宋_GB2312" w:eastAsia="仿宋_GB2312" w:cs="仿宋_GB2312"/>
          <w:b/>
          <w:bCs/>
          <w:sz w:val="28"/>
          <w:szCs w:val="28"/>
          <w:highlight w:val="none"/>
          <w:lang w:val="en-US" w:eastAsia="zh-CN"/>
        </w:rPr>
      </w:pPr>
      <w:r>
        <w:rPr>
          <w:rFonts w:hint="default" w:ascii="Times New Roman" w:hAnsi="Times New Roman" w:eastAsia="仿宋_GB2312" w:cs="Times New Roman"/>
          <w:b/>
          <w:bCs/>
          <w:sz w:val="28"/>
          <w:szCs w:val="28"/>
          <w:highlight w:val="none"/>
          <w:lang w:val="en-US" w:eastAsia="zh-CN"/>
        </w:rPr>
        <w:t>2.</w:t>
      </w:r>
      <w:r>
        <w:rPr>
          <w:rFonts w:hint="eastAsia" w:ascii="Times New Roman" w:hAnsi="Times New Roman" w:eastAsia="仿宋_GB2312" w:cs="Times New Roman"/>
          <w:b/>
          <w:bCs/>
          <w:sz w:val="28"/>
          <w:szCs w:val="28"/>
          <w:highlight w:val="none"/>
          <w:lang w:val="en-US" w:eastAsia="zh-CN"/>
        </w:rPr>
        <w:t>2</w:t>
      </w:r>
      <w:r>
        <w:rPr>
          <w:rFonts w:hint="eastAsia" w:ascii="仿宋_GB2312" w:hAnsi="仿宋_GB2312" w:eastAsia="仿宋_GB2312" w:cs="仿宋_GB2312"/>
          <w:b/>
          <w:bCs/>
          <w:sz w:val="28"/>
          <w:szCs w:val="28"/>
          <w:highlight w:val="none"/>
          <w:lang w:val="en-US" w:eastAsia="zh-CN"/>
        </w:rPr>
        <w:t>电商平台采样</w:t>
      </w:r>
    </w:p>
    <w:p w14:paraId="707E9F6D">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rPr>
      </w:pPr>
      <w:r>
        <w:rPr>
          <w:rFonts w:hint="eastAsia" w:ascii="方正仿宋_GBK" w:hAnsi="方正仿宋_GBK" w:eastAsia="方正仿宋_GBK" w:cs="方正仿宋_GBK"/>
          <w:sz w:val="28"/>
          <w:szCs w:val="28"/>
        </w:rPr>
        <w:t>抽样数量为同一型号</w:t>
      </w:r>
      <w:r>
        <w:rPr>
          <w:rFonts w:hint="eastAsia" w:ascii="方正仿宋_GBK" w:hAnsi="方正仿宋_GBK" w:eastAsia="方正仿宋_GBK" w:cs="方正仿宋_GBK"/>
          <w:sz w:val="28"/>
          <w:szCs w:val="28"/>
          <w:lang w:eastAsia="zh-CN"/>
        </w:rPr>
        <w:t>电热毯</w:t>
      </w:r>
      <w:r>
        <w:rPr>
          <w:rFonts w:hint="eastAsia" w:ascii="方正仿宋_GBK" w:hAnsi="方正仿宋_GBK" w:eastAsia="方正仿宋_GBK" w:cs="方正仿宋_GBK"/>
          <w:sz w:val="28"/>
          <w:szCs w:val="28"/>
          <w:lang w:val="en-US" w:eastAsia="zh-CN"/>
        </w:rPr>
        <w:t>4床</w:t>
      </w:r>
      <w:r>
        <w:rPr>
          <w:rFonts w:hint="eastAsia" w:ascii="方正仿宋_GBK" w:hAnsi="方正仿宋_GBK" w:eastAsia="方正仿宋_GBK" w:cs="方正仿宋_GBK"/>
          <w:sz w:val="28"/>
          <w:szCs w:val="28"/>
        </w:rPr>
        <w:t>。</w:t>
      </w:r>
    </w:p>
    <w:p w14:paraId="4465BCA4">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firstLine="542" w:firstLineChars="200"/>
        <w:textAlignment w:val="auto"/>
        <w:rPr>
          <w:rFonts w:hint="eastAsia" w:ascii="方正黑体_GBK" w:hAnsi="方正仿宋_GBK" w:eastAsia="方正黑体_GBK" w:cs="方正仿宋_GBK"/>
          <w:kern w:val="0"/>
          <w:sz w:val="28"/>
          <w:szCs w:val="28"/>
          <w:shd w:val="clear" w:color="auto" w:fill="FFFFFF"/>
          <w:lang w:bidi="ar"/>
        </w:rPr>
      </w:pPr>
      <w:r>
        <w:rPr>
          <w:rFonts w:hint="eastAsia" w:ascii="方正黑体_GBK" w:hAnsi="方正仿宋_GBK" w:eastAsia="方正黑体_GBK" w:cs="方正仿宋_GBK"/>
          <w:kern w:val="0"/>
          <w:sz w:val="28"/>
          <w:szCs w:val="28"/>
          <w:shd w:val="clear" w:color="auto" w:fill="FFFFFF"/>
          <w:lang w:bidi="ar"/>
        </w:rPr>
        <w:t>检验依据</w:t>
      </w:r>
    </w:p>
    <w:p w14:paraId="09555C96">
      <w:pPr>
        <w:keepNext w:val="0"/>
        <w:keepLines w:val="0"/>
        <w:pageBreakBefore w:val="0"/>
        <w:widowControl w:val="0"/>
        <w:shd w:val="clear" w:color="auto" w:fill="FFFFFF"/>
        <w:kinsoku/>
        <w:wordWrap/>
        <w:overflowPunct/>
        <w:topLinePunct w:val="0"/>
        <w:autoSpaceDE/>
        <w:autoSpaceDN/>
        <w:bidi w:val="0"/>
        <w:adjustRightInd/>
        <w:snapToGrid/>
        <w:spacing w:line="600" w:lineRule="exact"/>
        <w:ind w:firstLine="0" w:firstLineChars="0"/>
        <w:jc w:val="center"/>
        <w:textAlignment w:val="auto"/>
        <w:rPr>
          <w:rFonts w:hint="eastAsia" w:ascii="方正仿宋_GBK" w:hAnsi="方正仿宋_GBK" w:eastAsia="方正仿宋_GBK" w:cs="方正仿宋_GBK"/>
          <w:b/>
          <w:bCs/>
          <w:color w:val="auto"/>
          <w:sz w:val="24"/>
          <w:szCs w:val="24"/>
          <w:highlight w:val="none"/>
          <w:lang w:val="en-US" w:eastAsia="zh-CN"/>
        </w:rPr>
      </w:pPr>
      <w:r>
        <w:rPr>
          <w:rFonts w:hint="eastAsia" w:ascii="方正仿宋_GBK" w:hAnsi="方正仿宋_GBK" w:eastAsia="方正仿宋_GBK" w:cs="方正仿宋_GBK"/>
          <w:b/>
          <w:bCs/>
          <w:color w:val="auto"/>
          <w:sz w:val="24"/>
          <w:szCs w:val="24"/>
          <w:highlight w:val="none"/>
          <w:lang w:val="en-US" w:eastAsia="zh-CN"/>
        </w:rPr>
        <w:t>表1电热毯检验项目</w:t>
      </w:r>
    </w:p>
    <w:tbl>
      <w:tblPr>
        <w:tblStyle w:val="6"/>
        <w:tblpPr w:leftFromText="180" w:rightFromText="180" w:vertAnchor="text" w:horzAnchor="page" w:tblpX="2143" w:tblpY="21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5"/>
        <w:gridCol w:w="3902"/>
        <w:gridCol w:w="3395"/>
      </w:tblGrid>
      <w:tr w14:paraId="0271F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noWrap w:val="0"/>
            <w:vAlign w:val="center"/>
          </w:tcPr>
          <w:p w14:paraId="282C9FEF">
            <w:pPr>
              <w:keepNext w:val="0"/>
              <w:keepLines w:val="0"/>
              <w:pageBreakBefore w:val="0"/>
              <w:widowControl w:val="0"/>
              <w:shd w:val="clear" w:color="auto" w:fill="FFFFFF"/>
              <w:kinsoku/>
              <w:wordWrap/>
              <w:overflowPunct/>
              <w:topLinePunct w:val="0"/>
              <w:autoSpaceDE/>
              <w:autoSpaceDN/>
              <w:bidi w:val="0"/>
              <w:adjustRightInd/>
              <w:snapToGrid/>
              <w:spacing w:line="240" w:lineRule="auto"/>
              <w:ind w:firstLine="0" w:firstLineChars="0"/>
              <w:jc w:val="center"/>
              <w:textAlignment w:val="auto"/>
              <w:rPr>
                <w:rFonts w:hint="eastAsia" w:ascii="方正仿宋_GBK" w:hAnsi="方正仿宋_GBK" w:eastAsia="方正仿宋_GBK" w:cs="方正仿宋_GBK"/>
                <w:b/>
                <w:bCs/>
                <w:color w:val="auto"/>
                <w:sz w:val="28"/>
                <w:szCs w:val="28"/>
                <w:highlight w:val="none"/>
                <w:lang w:val="en-US" w:eastAsia="zh-CN"/>
              </w:rPr>
            </w:pPr>
            <w:r>
              <w:rPr>
                <w:rFonts w:hint="eastAsia" w:ascii="方正仿宋_GBK" w:hAnsi="方正仿宋_GBK" w:eastAsia="方正仿宋_GBK" w:cs="方正仿宋_GBK"/>
                <w:b/>
                <w:bCs/>
                <w:color w:val="auto"/>
                <w:sz w:val="28"/>
                <w:szCs w:val="28"/>
                <w:highlight w:val="none"/>
                <w:lang w:val="en-US" w:eastAsia="zh-CN"/>
              </w:rPr>
              <w:t>序号</w:t>
            </w:r>
          </w:p>
        </w:tc>
        <w:tc>
          <w:tcPr>
            <w:tcW w:w="3902" w:type="dxa"/>
            <w:noWrap w:val="0"/>
            <w:vAlign w:val="center"/>
          </w:tcPr>
          <w:p w14:paraId="167895E6">
            <w:pPr>
              <w:keepNext w:val="0"/>
              <w:keepLines w:val="0"/>
              <w:pageBreakBefore w:val="0"/>
              <w:widowControl w:val="0"/>
              <w:shd w:val="clear" w:color="auto" w:fill="FFFFFF"/>
              <w:kinsoku/>
              <w:wordWrap/>
              <w:overflowPunct/>
              <w:topLinePunct w:val="0"/>
              <w:autoSpaceDE/>
              <w:autoSpaceDN/>
              <w:bidi w:val="0"/>
              <w:adjustRightInd/>
              <w:snapToGrid/>
              <w:spacing w:line="240" w:lineRule="auto"/>
              <w:ind w:firstLine="0" w:firstLineChars="0"/>
              <w:jc w:val="center"/>
              <w:textAlignment w:val="auto"/>
              <w:rPr>
                <w:rFonts w:hint="eastAsia" w:ascii="方正仿宋_GBK" w:hAnsi="方正仿宋_GBK" w:eastAsia="方正仿宋_GBK" w:cs="方正仿宋_GBK"/>
                <w:b/>
                <w:bCs/>
                <w:color w:val="auto"/>
                <w:sz w:val="28"/>
                <w:szCs w:val="28"/>
                <w:highlight w:val="none"/>
                <w:lang w:val="en-US" w:eastAsia="zh-CN"/>
              </w:rPr>
            </w:pPr>
            <w:r>
              <w:rPr>
                <w:rFonts w:hint="eastAsia" w:ascii="方正仿宋_GBK" w:hAnsi="方正仿宋_GBK" w:eastAsia="方正仿宋_GBK" w:cs="方正仿宋_GBK"/>
                <w:b/>
                <w:bCs/>
                <w:color w:val="auto"/>
                <w:sz w:val="28"/>
                <w:szCs w:val="28"/>
                <w:highlight w:val="none"/>
                <w:lang w:val="en-US" w:eastAsia="zh-CN"/>
              </w:rPr>
              <w:t>检验项目</w:t>
            </w:r>
          </w:p>
        </w:tc>
        <w:tc>
          <w:tcPr>
            <w:tcW w:w="3395" w:type="dxa"/>
            <w:noWrap w:val="0"/>
            <w:vAlign w:val="center"/>
          </w:tcPr>
          <w:p w14:paraId="2B543410">
            <w:pPr>
              <w:ind w:firstLine="0" w:firstLineChars="0"/>
              <w:jc w:val="center"/>
              <w:rPr>
                <w:rFonts w:hint="eastAsia" w:ascii="方正仿宋_GBK" w:hAnsi="方正仿宋_GBK" w:eastAsia="方正仿宋_GBK" w:cs="方正仿宋_GBK"/>
                <w:b/>
                <w:bCs/>
                <w:color w:val="auto"/>
                <w:sz w:val="28"/>
                <w:szCs w:val="28"/>
                <w:highlight w:val="none"/>
                <w:lang w:val="en-US" w:eastAsia="zh-CN"/>
              </w:rPr>
            </w:pPr>
            <w:r>
              <w:rPr>
                <w:rFonts w:hint="eastAsia" w:ascii="方正仿宋_GBK" w:hAnsi="方正仿宋_GBK" w:eastAsia="方正仿宋_GBK" w:cs="方正仿宋_GBK"/>
                <w:b/>
                <w:bCs/>
                <w:sz w:val="28"/>
                <w:szCs w:val="28"/>
                <w:highlight w:val="none"/>
                <w:lang w:val="en-US" w:eastAsia="zh-CN"/>
              </w:rPr>
              <w:t>检验</w:t>
            </w:r>
            <w:r>
              <w:rPr>
                <w:rFonts w:hint="eastAsia" w:ascii="方正仿宋_GBK" w:hAnsi="方正仿宋_GBK" w:eastAsia="方正仿宋_GBK" w:cs="方正仿宋_GBK"/>
                <w:b/>
                <w:bCs/>
                <w:sz w:val="28"/>
                <w:szCs w:val="28"/>
                <w:highlight w:val="none"/>
              </w:rPr>
              <w:t>方法</w:t>
            </w:r>
          </w:p>
        </w:tc>
      </w:tr>
      <w:tr w14:paraId="23143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955" w:type="dxa"/>
            <w:noWrap w:val="0"/>
            <w:vAlign w:val="center"/>
          </w:tcPr>
          <w:p w14:paraId="4A6FB643">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1</w:t>
            </w:r>
          </w:p>
        </w:tc>
        <w:tc>
          <w:tcPr>
            <w:tcW w:w="3902" w:type="dxa"/>
            <w:noWrap w:val="0"/>
            <w:vAlign w:val="center"/>
          </w:tcPr>
          <w:p w14:paraId="1C3AC1A6">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标志和说明</w:t>
            </w:r>
          </w:p>
        </w:tc>
        <w:tc>
          <w:tcPr>
            <w:tcW w:w="3395" w:type="dxa"/>
            <w:vMerge w:val="restart"/>
            <w:noWrap w:val="0"/>
            <w:vAlign w:val="center"/>
          </w:tcPr>
          <w:p w14:paraId="563F8D18">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default" w:ascii="方正仿宋_GBK" w:hAnsi="方正仿宋_GBK" w:eastAsia="方正仿宋_GBK" w:cs="方正仿宋_GBK"/>
                <w:sz w:val="28"/>
                <w:szCs w:val="28"/>
                <w:lang w:val="en-US" w:eastAsia="zh-CN"/>
              </w:rPr>
            </w:pPr>
            <w:r>
              <w:rPr>
                <w:rFonts w:hint="default" w:ascii="方正仿宋_GBK" w:hAnsi="方正仿宋_GBK" w:eastAsia="方正仿宋_GBK" w:cs="方正仿宋_GBK"/>
                <w:sz w:val="28"/>
                <w:szCs w:val="28"/>
                <w:lang w:val="en-US" w:eastAsia="zh-CN"/>
              </w:rPr>
              <w:t>GB 4706.1-2005</w:t>
            </w:r>
          </w:p>
          <w:p w14:paraId="29DF7D8A">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default" w:ascii="方正仿宋_GBK" w:hAnsi="方正仿宋_GBK" w:eastAsia="方正仿宋_GBK" w:cs="方正仿宋_GBK"/>
                <w:sz w:val="28"/>
                <w:szCs w:val="28"/>
                <w:lang w:val="en-US" w:eastAsia="zh-CN"/>
              </w:rPr>
            </w:pPr>
            <w:r>
              <w:rPr>
                <w:rFonts w:hint="default" w:ascii="方正仿宋_GBK" w:hAnsi="方正仿宋_GBK" w:eastAsia="方正仿宋_GBK" w:cs="方正仿宋_GBK"/>
                <w:sz w:val="28"/>
                <w:szCs w:val="28"/>
                <w:lang w:val="en-US" w:eastAsia="zh-CN"/>
              </w:rPr>
              <w:t>GB 4706.8-2008</w:t>
            </w:r>
          </w:p>
          <w:p w14:paraId="2FFCDCD4">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default" w:ascii="方正仿宋_GBK" w:hAnsi="方正仿宋_GBK" w:eastAsia="方正仿宋_GBK" w:cs="方正仿宋_GBK"/>
                <w:sz w:val="28"/>
                <w:szCs w:val="28"/>
                <w:lang w:val="en-US" w:eastAsia="zh-CN"/>
              </w:rPr>
            </w:pPr>
            <w:r>
              <w:rPr>
                <w:rFonts w:hint="default" w:ascii="方正仿宋_GBK" w:hAnsi="方正仿宋_GBK" w:eastAsia="方正仿宋_GBK" w:cs="方正仿宋_GBK"/>
                <w:sz w:val="28"/>
                <w:szCs w:val="28"/>
                <w:lang w:val="en-US" w:eastAsia="zh-CN"/>
              </w:rPr>
              <w:t>GB/T 4706.1-2024</w:t>
            </w:r>
          </w:p>
          <w:p w14:paraId="31FFD9B8">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方正仿宋_GBK" w:hAnsi="方正仿宋_GBK" w:eastAsia="方正仿宋_GBK" w:cs="方正仿宋_GBK"/>
                <w:sz w:val="28"/>
                <w:szCs w:val="28"/>
                <w:lang w:val="en-US" w:eastAsia="zh-CN"/>
              </w:rPr>
            </w:pPr>
            <w:r>
              <w:rPr>
                <w:rFonts w:hint="default" w:ascii="方正仿宋_GBK" w:hAnsi="方正仿宋_GBK" w:eastAsia="方正仿宋_GBK" w:cs="方正仿宋_GBK"/>
                <w:sz w:val="28"/>
                <w:szCs w:val="28"/>
                <w:lang w:val="en-US" w:eastAsia="zh-CN"/>
              </w:rPr>
              <w:t>GB/T 4706.8-2024</w:t>
            </w:r>
          </w:p>
        </w:tc>
      </w:tr>
      <w:tr w14:paraId="2F644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noWrap w:val="0"/>
            <w:vAlign w:val="center"/>
          </w:tcPr>
          <w:p w14:paraId="11856E3D">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2</w:t>
            </w:r>
          </w:p>
        </w:tc>
        <w:tc>
          <w:tcPr>
            <w:tcW w:w="3902" w:type="dxa"/>
            <w:noWrap w:val="0"/>
            <w:vAlign w:val="center"/>
          </w:tcPr>
          <w:p w14:paraId="651CEB7B">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对触及带电部件的防护</w:t>
            </w:r>
          </w:p>
        </w:tc>
        <w:tc>
          <w:tcPr>
            <w:tcW w:w="3395" w:type="dxa"/>
            <w:vMerge w:val="continue"/>
            <w:noWrap w:val="0"/>
            <w:vAlign w:val="center"/>
          </w:tcPr>
          <w:p w14:paraId="5CA4940D">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default" w:ascii="方正仿宋_GBK" w:hAnsi="方正仿宋_GBK" w:eastAsia="方正仿宋_GBK" w:cs="方正仿宋_GBK"/>
                <w:sz w:val="28"/>
                <w:szCs w:val="28"/>
                <w:lang w:val="en-US" w:eastAsia="zh-CN"/>
              </w:rPr>
            </w:pPr>
          </w:p>
        </w:tc>
      </w:tr>
      <w:tr w14:paraId="18E10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noWrap w:val="0"/>
            <w:vAlign w:val="center"/>
          </w:tcPr>
          <w:p w14:paraId="2C023E5A">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3</w:t>
            </w:r>
          </w:p>
        </w:tc>
        <w:tc>
          <w:tcPr>
            <w:tcW w:w="3902" w:type="dxa"/>
            <w:noWrap w:val="0"/>
            <w:vAlign w:val="center"/>
          </w:tcPr>
          <w:p w14:paraId="0C882C29">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输入功率和电流</w:t>
            </w:r>
          </w:p>
        </w:tc>
        <w:tc>
          <w:tcPr>
            <w:tcW w:w="3395" w:type="dxa"/>
            <w:vMerge w:val="continue"/>
            <w:noWrap w:val="0"/>
            <w:vAlign w:val="center"/>
          </w:tcPr>
          <w:p w14:paraId="676D3B8E">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方正仿宋_GBK" w:hAnsi="方正仿宋_GBK" w:eastAsia="方正仿宋_GBK" w:cs="方正仿宋_GBK"/>
                <w:sz w:val="28"/>
                <w:szCs w:val="28"/>
                <w:lang w:val="en-US" w:eastAsia="zh-CN"/>
              </w:rPr>
            </w:pPr>
          </w:p>
        </w:tc>
      </w:tr>
      <w:tr w14:paraId="59EDA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noWrap w:val="0"/>
            <w:vAlign w:val="center"/>
          </w:tcPr>
          <w:p w14:paraId="11BDE34D">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4</w:t>
            </w:r>
          </w:p>
        </w:tc>
        <w:tc>
          <w:tcPr>
            <w:tcW w:w="3902" w:type="dxa"/>
            <w:noWrap w:val="0"/>
            <w:vAlign w:val="center"/>
          </w:tcPr>
          <w:p w14:paraId="2CD5196F">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耐潮湿</w:t>
            </w:r>
          </w:p>
        </w:tc>
        <w:tc>
          <w:tcPr>
            <w:tcW w:w="3395" w:type="dxa"/>
            <w:vMerge w:val="continue"/>
            <w:noWrap w:val="0"/>
            <w:vAlign w:val="center"/>
          </w:tcPr>
          <w:p w14:paraId="54FED1BF">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方正仿宋_GBK" w:hAnsi="方正仿宋_GBK" w:eastAsia="方正仿宋_GBK" w:cs="方正仿宋_GBK"/>
                <w:sz w:val="28"/>
                <w:szCs w:val="28"/>
                <w:lang w:val="en-US" w:eastAsia="zh-CN"/>
              </w:rPr>
            </w:pPr>
          </w:p>
        </w:tc>
      </w:tr>
      <w:tr w14:paraId="0141F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vAlign w:val="center"/>
          </w:tcPr>
          <w:p w14:paraId="2F34F1E2">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5</w:t>
            </w:r>
          </w:p>
        </w:tc>
        <w:tc>
          <w:tcPr>
            <w:tcW w:w="3902" w:type="dxa"/>
            <w:vAlign w:val="center"/>
          </w:tcPr>
          <w:p w14:paraId="0D16C8AE">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泄漏电流和电气强度</w:t>
            </w:r>
          </w:p>
        </w:tc>
        <w:tc>
          <w:tcPr>
            <w:tcW w:w="3395" w:type="dxa"/>
            <w:vMerge w:val="continue"/>
            <w:vAlign w:val="center"/>
          </w:tcPr>
          <w:p w14:paraId="7D916F82">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方正仿宋_GBK" w:hAnsi="方正仿宋_GBK" w:eastAsia="方正仿宋_GBK" w:cs="方正仿宋_GBK"/>
                <w:sz w:val="28"/>
                <w:szCs w:val="28"/>
                <w:lang w:val="en-US" w:eastAsia="zh-CN"/>
              </w:rPr>
            </w:pPr>
          </w:p>
        </w:tc>
      </w:tr>
      <w:tr w14:paraId="6E60D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vAlign w:val="center"/>
          </w:tcPr>
          <w:p w14:paraId="58535906">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6</w:t>
            </w:r>
          </w:p>
        </w:tc>
        <w:tc>
          <w:tcPr>
            <w:tcW w:w="3902" w:type="dxa"/>
            <w:vAlign w:val="center"/>
          </w:tcPr>
          <w:p w14:paraId="731075E2">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非正常工作（GB 4706.1—2005、GB 4706.8—2008只做第19.102或19.103或19.110条试验；GB/T 4706.1—2024、GB/T 4706.8—2024只做第19.102或19.110条试验）</w:t>
            </w:r>
          </w:p>
        </w:tc>
        <w:tc>
          <w:tcPr>
            <w:tcW w:w="3395" w:type="dxa"/>
            <w:vMerge w:val="continue"/>
            <w:vAlign w:val="center"/>
          </w:tcPr>
          <w:p w14:paraId="17D31B7C">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方正仿宋_GBK" w:hAnsi="方正仿宋_GBK" w:eastAsia="方正仿宋_GBK" w:cs="方正仿宋_GBK"/>
                <w:sz w:val="28"/>
                <w:szCs w:val="28"/>
                <w:lang w:val="en-US" w:eastAsia="zh-CN"/>
              </w:rPr>
            </w:pPr>
          </w:p>
        </w:tc>
      </w:tr>
      <w:tr w14:paraId="5F86D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vAlign w:val="center"/>
          </w:tcPr>
          <w:p w14:paraId="112BF75A">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7</w:t>
            </w:r>
          </w:p>
        </w:tc>
        <w:tc>
          <w:tcPr>
            <w:tcW w:w="3902" w:type="dxa"/>
            <w:vAlign w:val="center"/>
          </w:tcPr>
          <w:p w14:paraId="538F4AA5">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机械强度（只做21.111.1条试验）</w:t>
            </w:r>
          </w:p>
        </w:tc>
        <w:tc>
          <w:tcPr>
            <w:tcW w:w="3395" w:type="dxa"/>
            <w:vMerge w:val="continue"/>
            <w:vAlign w:val="center"/>
          </w:tcPr>
          <w:p w14:paraId="159184B0">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方正仿宋_GBK" w:hAnsi="方正仿宋_GBK" w:eastAsia="方正仿宋_GBK" w:cs="方正仿宋_GBK"/>
                <w:sz w:val="28"/>
                <w:szCs w:val="28"/>
                <w:lang w:val="en-US" w:eastAsia="zh-CN"/>
              </w:rPr>
            </w:pPr>
          </w:p>
        </w:tc>
      </w:tr>
      <w:tr w14:paraId="452E6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vAlign w:val="center"/>
          </w:tcPr>
          <w:p w14:paraId="075D9CA5">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8</w:t>
            </w:r>
          </w:p>
        </w:tc>
        <w:tc>
          <w:tcPr>
            <w:tcW w:w="3902" w:type="dxa"/>
            <w:vAlign w:val="center"/>
          </w:tcPr>
          <w:p w14:paraId="000D7DF8">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结构（不包括第22.46条试验）</w:t>
            </w:r>
          </w:p>
        </w:tc>
        <w:tc>
          <w:tcPr>
            <w:tcW w:w="3395" w:type="dxa"/>
            <w:vMerge w:val="continue"/>
            <w:vAlign w:val="center"/>
          </w:tcPr>
          <w:p w14:paraId="2FB153DA">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方正仿宋_GBK" w:hAnsi="方正仿宋_GBK" w:eastAsia="方正仿宋_GBK" w:cs="方正仿宋_GBK"/>
                <w:sz w:val="28"/>
                <w:szCs w:val="28"/>
                <w:lang w:val="en-US" w:eastAsia="zh-CN"/>
              </w:rPr>
            </w:pPr>
          </w:p>
        </w:tc>
      </w:tr>
      <w:tr w14:paraId="5EF4D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vAlign w:val="center"/>
          </w:tcPr>
          <w:p w14:paraId="4102BC5E">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9</w:t>
            </w:r>
          </w:p>
        </w:tc>
        <w:tc>
          <w:tcPr>
            <w:tcW w:w="3902" w:type="dxa"/>
            <w:vAlign w:val="center"/>
          </w:tcPr>
          <w:p w14:paraId="7E9DE558">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电源连接和外部软线</w:t>
            </w:r>
          </w:p>
        </w:tc>
        <w:tc>
          <w:tcPr>
            <w:tcW w:w="3395" w:type="dxa"/>
            <w:vMerge w:val="continue"/>
            <w:vAlign w:val="center"/>
          </w:tcPr>
          <w:p w14:paraId="0CF0A7F9">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方正仿宋_GBK" w:hAnsi="方正仿宋_GBK" w:eastAsia="方正仿宋_GBK" w:cs="方正仿宋_GBK"/>
                <w:sz w:val="28"/>
                <w:szCs w:val="28"/>
                <w:lang w:val="en-US" w:eastAsia="zh-CN"/>
              </w:rPr>
            </w:pPr>
          </w:p>
        </w:tc>
      </w:tr>
      <w:tr w14:paraId="749A0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vAlign w:val="center"/>
          </w:tcPr>
          <w:p w14:paraId="676FD008">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10</w:t>
            </w:r>
          </w:p>
        </w:tc>
        <w:tc>
          <w:tcPr>
            <w:tcW w:w="3902" w:type="dxa"/>
            <w:vAlign w:val="center"/>
          </w:tcPr>
          <w:p w14:paraId="3FF07FED">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电气间隙、爬电距离和固体绝缘</w:t>
            </w:r>
          </w:p>
        </w:tc>
        <w:tc>
          <w:tcPr>
            <w:tcW w:w="3395" w:type="dxa"/>
            <w:vMerge w:val="continue"/>
            <w:vAlign w:val="center"/>
          </w:tcPr>
          <w:p w14:paraId="118ACA7E">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方正仿宋_GBK" w:hAnsi="方正仿宋_GBK" w:eastAsia="方正仿宋_GBK" w:cs="方正仿宋_GBK"/>
                <w:sz w:val="28"/>
                <w:szCs w:val="28"/>
                <w:lang w:val="en-US" w:eastAsia="zh-CN"/>
              </w:rPr>
            </w:pPr>
          </w:p>
        </w:tc>
      </w:tr>
    </w:tbl>
    <w:p w14:paraId="605CBF8A">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黑体_GBK" w:hAnsi="方正仿宋_GBK" w:eastAsia="方正黑体_GBK" w:cs="方正仿宋_GBK"/>
          <w:kern w:val="0"/>
          <w:sz w:val="28"/>
          <w:szCs w:val="28"/>
          <w:shd w:val="clear" w:color="auto" w:fill="FFFFFF"/>
          <w:lang w:bidi="ar"/>
        </w:rPr>
      </w:pPr>
      <w:r>
        <w:rPr>
          <w:rFonts w:hint="eastAsia" w:ascii="方正黑体_GBK" w:hAnsi="方正仿宋_GBK" w:eastAsia="方正黑体_GBK" w:cs="方正仿宋_GBK"/>
          <w:kern w:val="0"/>
          <w:sz w:val="28"/>
          <w:szCs w:val="28"/>
          <w:shd w:val="clear" w:color="auto" w:fill="FFFFFF"/>
          <w:lang w:bidi="ar"/>
        </w:rPr>
        <w:t>4.判定规则</w:t>
      </w:r>
    </w:p>
    <w:p w14:paraId="75DEA546">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b/>
          <w:bCs/>
          <w:kern w:val="0"/>
          <w:sz w:val="28"/>
          <w:szCs w:val="28"/>
          <w:shd w:val="clear" w:color="auto" w:fill="FFFFFF"/>
          <w:lang w:bidi="ar"/>
        </w:rPr>
      </w:pPr>
      <w:r>
        <w:rPr>
          <w:rFonts w:hint="default" w:ascii="Times New Roman" w:hAnsi="Times New Roman" w:eastAsia="方正仿宋_GBK" w:cs="Times New Roman"/>
          <w:b/>
          <w:bCs/>
          <w:kern w:val="0"/>
          <w:sz w:val="28"/>
          <w:szCs w:val="28"/>
          <w:shd w:val="clear" w:color="auto" w:fill="FFFFFF"/>
          <w:lang w:bidi="ar"/>
        </w:rPr>
        <w:t>4.1</w:t>
      </w:r>
      <w:r>
        <w:rPr>
          <w:rFonts w:hint="eastAsia" w:ascii="方正仿宋_GBK" w:hAnsi="方正仿宋_GBK" w:eastAsia="方正仿宋_GBK" w:cs="方正仿宋_GBK"/>
          <w:b/>
          <w:bCs/>
          <w:kern w:val="0"/>
          <w:sz w:val="28"/>
          <w:szCs w:val="28"/>
          <w:shd w:val="clear" w:color="auto" w:fill="FFFFFF"/>
          <w:lang w:bidi="ar"/>
        </w:rPr>
        <w:t>依据标准</w:t>
      </w:r>
    </w:p>
    <w:p w14:paraId="5A284A6A">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default" w:ascii="方正仿宋_GBK" w:hAnsi="方正仿宋_GBK" w:eastAsia="方正仿宋_GBK" w:cs="方正仿宋_GBK"/>
          <w:sz w:val="28"/>
          <w:szCs w:val="28"/>
        </w:rPr>
      </w:pPr>
      <w:r>
        <w:rPr>
          <w:rFonts w:hint="default" w:ascii="方正仿宋_GBK" w:hAnsi="方正仿宋_GBK" w:eastAsia="方正仿宋_GBK" w:cs="方正仿宋_GBK"/>
          <w:sz w:val="28"/>
          <w:szCs w:val="28"/>
        </w:rPr>
        <w:t>GB 4706.1-2005 《家用和类似用途电器的安全 第1部分:通用要求》</w:t>
      </w:r>
    </w:p>
    <w:p w14:paraId="4BF84E43">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default" w:ascii="方正仿宋_GBK" w:hAnsi="方正仿宋_GBK" w:eastAsia="方正仿宋_GBK" w:cs="方正仿宋_GBK"/>
          <w:sz w:val="28"/>
          <w:szCs w:val="28"/>
        </w:rPr>
      </w:pPr>
      <w:r>
        <w:rPr>
          <w:rFonts w:hint="default" w:ascii="方正仿宋_GBK" w:hAnsi="方正仿宋_GBK" w:eastAsia="方正仿宋_GBK" w:cs="方正仿宋_GBK"/>
          <w:sz w:val="28"/>
          <w:szCs w:val="28"/>
        </w:rPr>
        <w:t>GB 4706.8-2008《家用和类似用途电器的安全 电热毯及类似柔性发热器具的特殊要求》</w:t>
      </w:r>
    </w:p>
    <w:p w14:paraId="0F17B1CB">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default" w:ascii="方正仿宋_GBK" w:hAnsi="方正仿宋_GBK" w:eastAsia="方正仿宋_GBK" w:cs="方正仿宋_GBK"/>
          <w:sz w:val="28"/>
          <w:szCs w:val="28"/>
        </w:rPr>
      </w:pPr>
      <w:r>
        <w:rPr>
          <w:rFonts w:hint="default" w:ascii="方正仿宋_GBK" w:hAnsi="方正仿宋_GBK" w:eastAsia="方正仿宋_GBK" w:cs="方正仿宋_GBK"/>
          <w:sz w:val="28"/>
          <w:szCs w:val="28"/>
        </w:rPr>
        <w:t>GB</w:t>
      </w:r>
      <w:r>
        <w:rPr>
          <w:rFonts w:hint="default" w:ascii="方正仿宋_GBK" w:hAnsi="方正仿宋_GBK" w:eastAsia="方正仿宋_GBK" w:cs="方正仿宋_GBK"/>
          <w:sz w:val="28"/>
          <w:szCs w:val="28"/>
          <w:lang w:val="en-US" w:eastAsia="zh-CN"/>
        </w:rPr>
        <w:t xml:space="preserve">/T </w:t>
      </w:r>
      <w:r>
        <w:rPr>
          <w:rFonts w:hint="default" w:ascii="方正仿宋_GBK" w:hAnsi="方正仿宋_GBK" w:eastAsia="方正仿宋_GBK" w:cs="方正仿宋_GBK"/>
          <w:sz w:val="28"/>
          <w:szCs w:val="28"/>
        </w:rPr>
        <w:t>4706.</w:t>
      </w:r>
      <w:r>
        <w:rPr>
          <w:rFonts w:hint="default" w:ascii="方正仿宋_GBK" w:hAnsi="方正仿宋_GBK" w:eastAsia="方正仿宋_GBK" w:cs="方正仿宋_GBK"/>
          <w:sz w:val="28"/>
          <w:szCs w:val="28"/>
          <w:lang w:val="en-US" w:eastAsia="zh-CN"/>
        </w:rPr>
        <w:t>1</w:t>
      </w:r>
      <w:r>
        <w:rPr>
          <w:rFonts w:hint="default" w:ascii="方正仿宋_GBK" w:hAnsi="方正仿宋_GBK" w:eastAsia="方正仿宋_GBK" w:cs="方正仿宋_GBK"/>
          <w:sz w:val="28"/>
          <w:szCs w:val="28"/>
        </w:rPr>
        <w:t>-20</w:t>
      </w:r>
      <w:r>
        <w:rPr>
          <w:rFonts w:hint="default" w:ascii="方正仿宋_GBK" w:hAnsi="方正仿宋_GBK" w:eastAsia="方正仿宋_GBK" w:cs="方正仿宋_GBK"/>
          <w:sz w:val="28"/>
          <w:szCs w:val="28"/>
          <w:lang w:val="en-US" w:eastAsia="zh-CN"/>
        </w:rPr>
        <w:t>24</w:t>
      </w:r>
      <w:r>
        <w:rPr>
          <w:rFonts w:hint="default" w:ascii="方正仿宋_GBK" w:hAnsi="方正仿宋_GBK" w:eastAsia="方正仿宋_GBK" w:cs="方正仿宋_GBK"/>
          <w:sz w:val="28"/>
          <w:szCs w:val="28"/>
        </w:rPr>
        <w:t>《家用和类似用途电器的安全 第1部分：通用要求》</w:t>
      </w:r>
    </w:p>
    <w:p w14:paraId="0207E7FA">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default" w:ascii="方正仿宋_GBK" w:hAnsi="方正仿宋_GBK" w:eastAsia="方正仿宋_GBK" w:cs="方正仿宋_GBK"/>
          <w:sz w:val="28"/>
          <w:szCs w:val="28"/>
        </w:rPr>
      </w:pPr>
      <w:r>
        <w:rPr>
          <w:rFonts w:hint="default" w:ascii="方正仿宋_GBK" w:hAnsi="方正仿宋_GBK" w:eastAsia="方正仿宋_GBK" w:cs="方正仿宋_GBK"/>
          <w:sz w:val="28"/>
          <w:szCs w:val="28"/>
        </w:rPr>
        <w:t>GB</w:t>
      </w:r>
      <w:r>
        <w:rPr>
          <w:rFonts w:hint="default" w:ascii="方正仿宋_GBK" w:hAnsi="方正仿宋_GBK" w:eastAsia="方正仿宋_GBK" w:cs="方正仿宋_GBK"/>
          <w:sz w:val="28"/>
          <w:szCs w:val="28"/>
          <w:lang w:val="en-US" w:eastAsia="zh-CN"/>
        </w:rPr>
        <w:t>/T</w:t>
      </w:r>
      <w:r>
        <w:rPr>
          <w:rFonts w:hint="default" w:ascii="方正仿宋_GBK" w:hAnsi="方正仿宋_GBK" w:eastAsia="方正仿宋_GBK" w:cs="方正仿宋_GBK"/>
          <w:sz w:val="28"/>
          <w:szCs w:val="28"/>
        </w:rPr>
        <w:t xml:space="preserve"> 4706.</w:t>
      </w:r>
      <w:r>
        <w:rPr>
          <w:rFonts w:hint="default" w:ascii="方正仿宋_GBK" w:hAnsi="方正仿宋_GBK" w:eastAsia="方正仿宋_GBK" w:cs="方正仿宋_GBK"/>
          <w:sz w:val="28"/>
          <w:szCs w:val="28"/>
          <w:lang w:val="en-US" w:eastAsia="zh-CN"/>
        </w:rPr>
        <w:t>8</w:t>
      </w:r>
      <w:r>
        <w:rPr>
          <w:rFonts w:hint="default" w:ascii="方正仿宋_GBK" w:hAnsi="方正仿宋_GBK" w:eastAsia="方正仿宋_GBK" w:cs="方正仿宋_GBK"/>
          <w:sz w:val="28"/>
          <w:szCs w:val="28"/>
        </w:rPr>
        <w:t>-20</w:t>
      </w:r>
      <w:r>
        <w:rPr>
          <w:rFonts w:hint="default" w:ascii="方正仿宋_GBK" w:hAnsi="方正仿宋_GBK" w:eastAsia="方正仿宋_GBK" w:cs="方正仿宋_GBK"/>
          <w:sz w:val="28"/>
          <w:szCs w:val="28"/>
          <w:lang w:val="en-US" w:eastAsia="zh-CN"/>
        </w:rPr>
        <w:t>24</w:t>
      </w:r>
      <w:r>
        <w:rPr>
          <w:rFonts w:hint="default" w:ascii="方正仿宋_GBK" w:hAnsi="方正仿宋_GBK" w:eastAsia="方正仿宋_GBK" w:cs="方正仿宋_GBK"/>
          <w:sz w:val="28"/>
          <w:szCs w:val="28"/>
        </w:rPr>
        <w:t>《家用和类似用途电器的安全 第8部分：电热毯、电热垫、电热衣及类似柔性发热器具的特殊要求》</w:t>
      </w:r>
    </w:p>
    <w:p w14:paraId="3AAD2BA4">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rPr>
      </w:pPr>
      <w:r>
        <w:rPr>
          <w:rFonts w:hint="eastAsia" w:ascii="方正仿宋_GBK" w:hAnsi="方正仿宋_GBK" w:eastAsia="方正仿宋_GBK" w:cs="方正仿宋_GBK"/>
          <w:sz w:val="28"/>
          <w:szCs w:val="28"/>
        </w:rPr>
        <w:t>现行有效的企业标准、团体标准、地方标准及产品明示质量要求</w:t>
      </w:r>
    </w:p>
    <w:p w14:paraId="5930F832">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黑体_GBK" w:hAnsi="方正仿宋_GBK" w:eastAsia="方正黑体_GBK" w:cs="方正仿宋_GBK"/>
          <w:kern w:val="0"/>
          <w:sz w:val="28"/>
          <w:szCs w:val="28"/>
          <w:shd w:val="clear" w:color="auto" w:fill="FFFFFF"/>
          <w:lang w:bidi="ar"/>
        </w:rPr>
      </w:pPr>
      <w:r>
        <w:rPr>
          <w:rFonts w:hint="eastAsia" w:ascii="Times New Roman" w:hAnsi="Times New Roman" w:eastAsia="方正仿宋_GBK" w:cs="Times New Roman"/>
          <w:b/>
          <w:bCs/>
          <w:kern w:val="0"/>
          <w:sz w:val="28"/>
          <w:szCs w:val="28"/>
          <w:shd w:val="clear" w:color="auto" w:fill="FFFFFF"/>
          <w:lang w:bidi="ar"/>
        </w:rPr>
        <w:t>4.2判定原则</w:t>
      </w:r>
    </w:p>
    <w:p w14:paraId="697FEC0C">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经检验，检验项目全部合格，判定为被抽查产品所检项目未发现不合格；检验项目中任一项或一项以上不合格，判定为被抽查产品不合格。</w:t>
      </w:r>
    </w:p>
    <w:p w14:paraId="110053B2">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若被检产品明示的质量要求高于本细则中检验项目依据的标准要求时，应按被检产品明示的质量要求判定。</w:t>
      </w:r>
    </w:p>
    <w:p w14:paraId="27C9B913">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若被检产品明示的质量要求低于本细则中检验项目依据的强制性标准要求时，应按照强制性标准要求判定。</w:t>
      </w:r>
    </w:p>
    <w:p w14:paraId="7A26C3AF">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若被检产品明示的质量要求低于或包含本细则中检验项目依据的推荐性标准要求时，应以被检产品明示的质量要求判定。</w:t>
      </w:r>
    </w:p>
    <w:p w14:paraId="4BD22676">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若被检产品明示的质量要求缺少本细则中检验项目依据的强制性标准要求时，应按照强制性标准要求判定。</w:t>
      </w:r>
    </w:p>
    <w:p w14:paraId="15496F28">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若被检产品明示的质量要求缺少本细则中检验项目依据的推荐性标准要求时，该项目不参与判定。</w:t>
      </w:r>
    </w:p>
    <w:p w14:paraId="5BE1A583">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p>
    <w:sectPr>
      <w:pgSz w:w="11906" w:h="16838"/>
      <w:pgMar w:top="2098" w:right="1474" w:bottom="1984" w:left="1587" w:header="851" w:footer="1417" w:gutter="0"/>
      <w:cols w:space="0" w:num="1"/>
      <w:titlePg/>
      <w:rtlGutter w:val="0"/>
      <w:docGrid w:type="linesAndChars" w:linePitch="311" w:charSpace="-184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panose1 w:val="02010600010101010101"/>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A7312FE"/>
    <w:multiLevelType w:val="singleLevel"/>
    <w:tmpl w:val="2A7312FE"/>
    <w:lvl w:ilvl="0" w:tentative="0">
      <w:start w:val="3"/>
      <w:numFmt w:val="decimal"/>
      <w:lvlText w:val="%1."/>
      <w:lvlJc w:val="left"/>
      <w:pPr>
        <w:tabs>
          <w:tab w:val="left" w:pos="312"/>
        </w:tabs>
      </w:pPr>
    </w:lvl>
  </w:abstractNum>
  <w:abstractNum w:abstractNumId="1">
    <w:nsid w:val="614D1A02"/>
    <w:multiLevelType w:val="multilevel"/>
    <w:tmpl w:val="614D1A02"/>
    <w:lvl w:ilvl="0" w:tentative="0">
      <w:start w:val="1"/>
      <w:numFmt w:val="chineseCountingThousand"/>
      <w:suff w:val="nothing"/>
      <w:lvlText w:val="第%1章"/>
      <w:lvlJc w:val="left"/>
      <w:pPr>
        <w:ind w:left="-70"/>
      </w:pPr>
    </w:lvl>
    <w:lvl w:ilvl="1" w:tentative="0">
      <w:start w:val="1"/>
      <w:numFmt w:val="none"/>
      <w:suff w:val="nothing"/>
      <w:lvlText w:val=""/>
      <w:lvlJc w:val="left"/>
    </w:lvl>
    <w:lvl w:ilvl="2" w:tentative="0">
      <w:start w:val="1"/>
      <w:numFmt w:val="none"/>
      <w:suff w:val="nothing"/>
      <w:lvlText w:val=""/>
      <w:lvlJc w:val="left"/>
    </w:lvl>
    <w:lvl w:ilvl="3" w:tentative="0">
      <w:start w:val="1"/>
      <w:numFmt w:val="none"/>
      <w:pStyle w:val="4"/>
      <w:suff w:val="nothing"/>
      <w:lvlText w:val=""/>
      <w:lvlJc w:val="left"/>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evenAndOddHeaders w:val="1"/>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2018A7"/>
    <w:rsid w:val="066608BD"/>
    <w:rsid w:val="158F128B"/>
    <w:rsid w:val="169F1C89"/>
    <w:rsid w:val="1C645E5D"/>
    <w:rsid w:val="247E6D63"/>
    <w:rsid w:val="25470D5C"/>
    <w:rsid w:val="38203C1B"/>
    <w:rsid w:val="3FD30DCD"/>
    <w:rsid w:val="47875E91"/>
    <w:rsid w:val="4830235B"/>
    <w:rsid w:val="58E4049E"/>
    <w:rsid w:val="5BC2263F"/>
    <w:rsid w:val="70913C30"/>
    <w:rsid w:val="78735CD4"/>
    <w:rsid w:val="7F8174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semiHidden/>
    <w:unhideWhenUsed/>
    <w:qFormat/>
    <w:uiPriority w:val="9"/>
    <w:pPr>
      <w:spacing w:beforeAutospacing="1" w:afterAutospacing="1"/>
      <w:jc w:val="left"/>
      <w:outlineLvl w:val="2"/>
    </w:pPr>
    <w:rPr>
      <w:rFonts w:hint="eastAsia" w:ascii="宋体" w:hAnsi="宋体"/>
      <w:b/>
      <w:bCs/>
      <w:kern w:val="0"/>
      <w:sz w:val="27"/>
      <w:szCs w:val="27"/>
    </w:rPr>
  </w:style>
  <w:style w:type="paragraph" w:styleId="4">
    <w:name w:val="heading 4"/>
    <w:basedOn w:val="1"/>
    <w:next w:val="1"/>
    <w:qFormat/>
    <w:uiPriority w:val="0"/>
    <w:pPr>
      <w:keepNext/>
      <w:keepLines/>
      <w:numPr>
        <w:ilvl w:val="3"/>
        <w:numId w:val="1"/>
      </w:numPr>
      <w:spacing w:before="280" w:after="290" w:line="376" w:lineRule="auto"/>
      <w:outlineLvl w:val="3"/>
    </w:pPr>
    <w:rPr>
      <w:rFonts w:ascii="Cambria" w:hAnsi="Cambria" w:cs="Cambria"/>
      <w:b/>
      <w:bCs/>
      <w:sz w:val="28"/>
      <w:szCs w:val="28"/>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customStyle="1" w:styleId="2">
    <w:name w:val="标题 41"/>
    <w:basedOn w:val="1"/>
    <w:next w:val="1"/>
    <w:qFormat/>
    <w:uiPriority w:val="0"/>
    <w:pPr>
      <w:keepNext/>
      <w:keepLines/>
      <w:spacing w:before="280" w:after="290" w:line="376" w:lineRule="auto"/>
      <w:outlineLvl w:val="3"/>
    </w:pPr>
    <w:rPr>
      <w:rFonts w:ascii="Arial" w:hAnsi="Arial" w:eastAsia="黑体" w:cs="Arial"/>
      <w:b/>
      <w:bCs/>
      <w:sz w:val="28"/>
      <w:szCs w:val="28"/>
    </w:rPr>
  </w:style>
  <w:style w:type="paragraph" w:styleId="5">
    <w:name w:val="Body Text Indent"/>
    <w:basedOn w:val="1"/>
    <w:qFormat/>
    <w:uiPriority w:val="0"/>
    <w:pPr>
      <w:spacing w:after="120"/>
      <w:ind w:left="420" w:left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837</Words>
  <Characters>1024</Characters>
  <Lines>0</Lines>
  <Paragraphs>0</Paragraphs>
  <TotalTime>0</TotalTime>
  <ScaleCrop>false</ScaleCrop>
  <LinksUpToDate>false</LinksUpToDate>
  <CharactersWithSpaces>1041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2024-12-18T07:14:00Z</dcterms:created>
  <dc:creator>Administrator</dc:creator>
  <cp:lastModifiedBy>刘义～苏州质检</cp:lastModifiedBy>
  <dcterms:modified xsi:type="dcterms:W3CDTF">2026-07-27T01:58:00Z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eyJoZGlkIjoiNGIwZTNmN2IwMzE2MDI5YTNjMDFhYWNlYTE3OTdlZDAiLCJ1c2VySWQiOiIxMDEwNTQ4NDI0In0=</vt:lpwstr>
  </property>
  <property fmtid="{D5CDD505-2E9C-101B-9397-08002B2CF9AE}" pid="4" name="ICV">
    <vt:lpwstr>BA9B04BA9CE74E88A99550022D108A5B_12</vt:lpwstr>
  </property>
</Properties>
</file>