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1DF355">
      <w:pPr>
        <w:snapToGrid w:val="0"/>
        <w:spacing w:line="580" w:lineRule="exact"/>
        <w:rPr>
          <w:rFonts w:hint="eastAsia" w:ascii="方正小标宋_GBK" w:hAnsi="方正小标宋_GBK" w:eastAsia="方正小标宋_GBK" w:cs="方正小标宋_GBK"/>
          <w:color w:val="000000"/>
          <w:sz w:val="44"/>
          <w:szCs w:val="44"/>
        </w:rPr>
      </w:pPr>
    </w:p>
    <w:p w14:paraId="26D370D4">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lang w:val="en-US" w:eastAsia="zh-CN"/>
        </w:rPr>
        <w:t>南京</w:t>
      </w:r>
      <w:r>
        <w:rPr>
          <w:rFonts w:hint="eastAsia" w:ascii="方正小标宋_GBK" w:hAnsi="方正小标宋_GBK" w:eastAsia="方正小标宋_GBK" w:cs="方正小标宋_GBK"/>
          <w:color w:val="000000"/>
          <w:sz w:val="44"/>
          <w:szCs w:val="44"/>
        </w:rPr>
        <w:t>市</w:t>
      </w:r>
      <w:r>
        <w:rPr>
          <w:rFonts w:hint="eastAsia" w:ascii="方正小标宋_GBK" w:hAnsi="方正小标宋_GBK" w:eastAsia="方正小标宋_GBK" w:cs="方正小标宋_GBK"/>
          <w:color w:val="000000"/>
          <w:sz w:val="44"/>
          <w:szCs w:val="44"/>
          <w:lang w:val="en-US" w:eastAsia="zh-CN"/>
        </w:rPr>
        <w:t>醇基</w:t>
      </w:r>
      <w:r>
        <w:rPr>
          <w:rFonts w:hint="eastAsia" w:ascii="方正小标宋_GBK" w:hAnsi="方正小标宋_GBK" w:eastAsia="方正小标宋_GBK" w:cs="方正小标宋_GBK"/>
          <w:color w:val="000000"/>
          <w:sz w:val="44"/>
          <w:szCs w:val="44"/>
        </w:rPr>
        <w:t>燃料</w:t>
      </w:r>
      <w:r>
        <w:rPr>
          <w:rFonts w:hint="eastAsia" w:ascii="方正小标宋_GBK" w:hAnsi="方正小标宋_GBK" w:eastAsia="方正小标宋_GBK" w:cs="方正小标宋_GBK"/>
          <w:color w:val="000000"/>
          <w:sz w:val="44"/>
          <w:szCs w:val="44"/>
          <w:lang w:val="en-US" w:eastAsia="zh-CN"/>
        </w:rPr>
        <w:t>等新型燃料</w:t>
      </w:r>
      <w:r>
        <w:rPr>
          <w:rFonts w:hint="eastAsia" w:ascii="方正小标宋_GBK" w:hAnsi="方正小标宋_GBK" w:eastAsia="方正小标宋_GBK" w:cs="方正小标宋_GBK"/>
          <w:color w:val="000000"/>
          <w:sz w:val="44"/>
          <w:szCs w:val="44"/>
        </w:rPr>
        <w:t>产品质量</w:t>
      </w:r>
    </w:p>
    <w:p w14:paraId="66BDAAAA">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监督抽查实施细则</w:t>
      </w:r>
    </w:p>
    <w:p w14:paraId="72DAB687">
      <w:pPr>
        <w:snapToGrid w:val="0"/>
        <w:spacing w:line="580" w:lineRule="exact"/>
        <w:jc w:val="center"/>
        <w:rPr>
          <w:rFonts w:hint="eastAsia" w:ascii="方正小标宋_GBK" w:hAnsi="方正小标宋_GBK" w:eastAsia="方正小标宋_GBK" w:cs="方正小标宋_GBK"/>
          <w:color w:val="000000"/>
          <w:sz w:val="36"/>
          <w:szCs w:val="36"/>
        </w:rPr>
      </w:pPr>
      <w:r>
        <w:rPr>
          <w:rFonts w:hint="eastAsia" w:ascii="方正小标宋_GBK" w:hAnsi="方正小标宋_GBK" w:eastAsia="方正小标宋_GBK" w:cs="方正小标宋_GBK"/>
          <w:color w:val="000000"/>
          <w:sz w:val="44"/>
          <w:szCs w:val="44"/>
        </w:rPr>
        <w:t>（2025年版）</w:t>
      </w:r>
    </w:p>
    <w:p w14:paraId="64C37889">
      <w:pPr>
        <w:spacing w:line="580" w:lineRule="exact"/>
        <w:jc w:val="center"/>
        <w:rPr>
          <w:rFonts w:hint="eastAsia" w:ascii="宋体" w:hAnsi="宋体" w:cs="宋体"/>
          <w:b/>
          <w:sz w:val="36"/>
          <w:szCs w:val="36"/>
        </w:rPr>
      </w:pPr>
    </w:p>
    <w:p w14:paraId="007C9386">
      <w:pPr>
        <w:spacing w:line="600" w:lineRule="exact"/>
        <w:ind w:firstLine="640" w:firstLineChars="200"/>
        <w:rPr>
          <w:rFonts w:hint="eastAsia" w:ascii="方正黑体_GBK" w:hAnsi="方正仿宋_GBK" w:eastAsia="方正黑体_GBK" w:cs="方正仿宋_GBK"/>
          <w:kern w:val="0"/>
          <w:sz w:val="32"/>
          <w:szCs w:val="32"/>
          <w:shd w:val="clear" w:color="auto" w:fill="FFFFFF"/>
          <w:lang w:bidi="ar"/>
        </w:rPr>
      </w:pPr>
      <w:r>
        <w:rPr>
          <w:rFonts w:ascii="Times New Roman" w:hAnsi="Times New Roman" w:eastAsia="黑体"/>
          <w:bCs/>
          <w:sz w:val="32"/>
          <w:szCs w:val="32"/>
        </w:rPr>
        <w:t>1.</w:t>
      </w:r>
      <w:r>
        <w:rPr>
          <w:rFonts w:hint="eastAsia" w:ascii="方正黑体_GBK" w:hAnsi="方正仿宋_GBK" w:eastAsia="方正黑体_GBK" w:cs="方正仿宋_GBK"/>
          <w:kern w:val="0"/>
          <w:sz w:val="32"/>
          <w:szCs w:val="32"/>
          <w:shd w:val="clear" w:color="auto" w:fill="FFFFFF"/>
          <w:lang w:bidi="ar"/>
        </w:rPr>
        <w:t>范围</w:t>
      </w:r>
    </w:p>
    <w:p w14:paraId="11F3A6C9">
      <w:pPr>
        <w:spacing w:line="560" w:lineRule="exact"/>
        <w:ind w:firstLine="640" w:firstLineChars="200"/>
        <w:rPr>
          <w:rFonts w:hint="eastAsia" w:ascii="仿宋_GB2312" w:hAnsi="宋体" w:eastAsia="仿宋_GB2312"/>
          <w:sz w:val="30"/>
          <w:szCs w:val="32"/>
        </w:rPr>
      </w:pPr>
      <w:r>
        <w:rPr>
          <w:rFonts w:hint="eastAsia" w:ascii="方正仿宋_GBK" w:hAnsi="方正仿宋_GBK" w:eastAsia="方正仿宋_GBK" w:cs="方正仿宋_GBK"/>
          <w:sz w:val="32"/>
          <w:szCs w:val="32"/>
        </w:rPr>
        <w:t>本细则适用于</w:t>
      </w:r>
      <w:r>
        <w:rPr>
          <w:rFonts w:hint="eastAsia" w:ascii="方正仿宋_GBK" w:hAnsi="方正仿宋_GBK" w:eastAsia="方正仿宋_GBK" w:cs="方正仿宋_GBK"/>
          <w:sz w:val="32"/>
          <w:szCs w:val="32"/>
          <w:lang w:val="en-US" w:eastAsia="zh-CN"/>
        </w:rPr>
        <w:t>南京市</w:t>
      </w:r>
      <w:r>
        <w:rPr>
          <w:rFonts w:hint="eastAsia" w:ascii="方正仿宋_GBK" w:hAnsi="方正仿宋_GBK" w:eastAsia="方正仿宋_GBK" w:cs="方正仿宋_GBK"/>
          <w:sz w:val="32"/>
          <w:szCs w:val="32"/>
        </w:rPr>
        <w:t>市场监督管理局组织的</w:t>
      </w:r>
      <w:r>
        <w:rPr>
          <w:rFonts w:hint="eastAsia" w:ascii="方正仿宋_GBK" w:hAnsi="方正仿宋_GBK" w:eastAsia="方正仿宋_GBK" w:cs="方正仿宋_GBK"/>
          <w:sz w:val="32"/>
          <w:szCs w:val="32"/>
          <w:lang w:val="en-US" w:eastAsia="zh-CN"/>
        </w:rPr>
        <w:t>醇基</w:t>
      </w:r>
      <w:bookmarkStart w:id="0" w:name="_GoBack"/>
      <w:bookmarkEnd w:id="0"/>
      <w:r>
        <w:rPr>
          <w:rFonts w:hint="eastAsia" w:ascii="方正仿宋_GBK" w:hAnsi="方正仿宋_GBK" w:eastAsia="方正仿宋_GBK" w:cs="方正仿宋_GBK"/>
          <w:sz w:val="32"/>
          <w:szCs w:val="32"/>
        </w:rPr>
        <w:t>燃料</w:t>
      </w:r>
      <w:r>
        <w:rPr>
          <w:rFonts w:hint="eastAsia" w:ascii="方正仿宋_GBK" w:hAnsi="方正仿宋_GBK" w:eastAsia="方正仿宋_GBK" w:cs="方正仿宋_GBK"/>
          <w:sz w:val="32"/>
          <w:szCs w:val="32"/>
          <w:lang w:val="en-US" w:eastAsia="zh-CN"/>
        </w:rPr>
        <w:t>等新型燃料</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6F6C9F80">
      <w:pPr>
        <w:overflowPunct w:val="0"/>
        <w:autoSpaceDE w:val="0"/>
        <w:autoSpaceDN w:val="0"/>
        <w:adjustRightInd w:val="0"/>
        <w:snapToGrid w:val="0"/>
        <w:spacing w:line="580" w:lineRule="exact"/>
        <w:ind w:firstLine="640" w:firstLineChars="200"/>
        <w:rPr>
          <w:rFonts w:hint="eastAsia" w:ascii="方正黑体_GBK" w:hAnsi="方正仿宋_GBK" w:eastAsia="方正黑体_GBK" w:cs="方正仿宋_GBK"/>
          <w:kern w:val="0"/>
          <w:sz w:val="32"/>
          <w:szCs w:val="32"/>
          <w:shd w:val="clear" w:color="auto" w:fill="FFFFFF"/>
          <w:lang w:bidi="ar"/>
        </w:rPr>
      </w:pPr>
      <w:r>
        <w:rPr>
          <w:rFonts w:ascii="Times New Roman" w:hAnsi="Times New Roman" w:eastAsia="方正黑体_GBK"/>
          <w:kern w:val="0"/>
          <w:sz w:val="32"/>
          <w:szCs w:val="32"/>
          <w:shd w:val="clear" w:color="auto" w:fill="FFFFFF"/>
          <w:lang w:bidi="ar"/>
        </w:rPr>
        <w:t>2.</w:t>
      </w:r>
      <w:r>
        <w:rPr>
          <w:rFonts w:hint="eastAsia" w:ascii="方正黑体_GBK" w:hAnsi="方正仿宋_GBK" w:eastAsia="方正黑体_GBK" w:cs="方正仿宋_GBK"/>
          <w:kern w:val="0"/>
          <w:sz w:val="32"/>
          <w:szCs w:val="32"/>
          <w:shd w:val="clear" w:color="auto" w:fill="FFFFFF"/>
          <w:lang w:bidi="ar"/>
        </w:rPr>
        <w:t>抽样方法</w:t>
      </w:r>
    </w:p>
    <w:p w14:paraId="3F47C464">
      <w:pPr>
        <w:spacing w:line="580" w:lineRule="exact"/>
        <w:ind w:firstLine="643" w:firstLineChars="200"/>
        <w:rPr>
          <w:rFonts w:hint="eastAsia" w:ascii="Times New Roman" w:hAnsi="Times New Roman" w:eastAsia="方正仿宋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2.1生产企业、</w:t>
      </w:r>
      <w:r>
        <w:rPr>
          <w:rFonts w:hint="eastAsia" w:ascii="方正楷体_GBK" w:hAnsi="方正楷体_GBK" w:eastAsia="方正楷体_GBK" w:cs="方正楷体_GBK"/>
          <w:b/>
          <w:bCs/>
          <w:sz w:val="32"/>
          <w:szCs w:val="32"/>
        </w:rPr>
        <w:t>实体店抽样</w:t>
      </w:r>
    </w:p>
    <w:p w14:paraId="659C2BCA">
      <w:pPr>
        <w:spacing w:line="580" w:lineRule="exact"/>
        <w:ind w:firstLine="640" w:firstLineChars="200"/>
        <w:rPr>
          <w:rFonts w:hint="eastAsia" w:ascii="方正仿宋_GBK" w:hAnsi="方正仿宋_GBK" w:eastAsia="方正仿宋_GBK" w:cs="方正仿宋_GBK"/>
          <w:sz w:val="32"/>
          <w:szCs w:val="32"/>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样基数应满足抽样要求。</w:t>
      </w:r>
      <w:r>
        <w:rPr>
          <w:rFonts w:hint="eastAsia" w:ascii="Times New Roman" w:hAnsi="Times New Roman" w:eastAsia="方正仿宋_GBK"/>
          <w:kern w:val="0"/>
          <w:sz w:val="32"/>
          <w:szCs w:val="32"/>
          <w:shd w:val="clear" w:color="auto" w:fill="FFFFFF"/>
          <w:lang w:bidi="ar"/>
        </w:rPr>
        <w:t>抽样过程均需拍照留证。一经抽样，立即封样，任何人不得调换。</w:t>
      </w:r>
    </w:p>
    <w:p w14:paraId="40522B15">
      <w:pPr>
        <w:spacing w:line="580" w:lineRule="exact"/>
        <w:ind w:firstLine="643" w:firstLineChars="200"/>
        <w:rPr>
          <w:rFonts w:hint="eastAsia" w:ascii="Times New Roman" w:hAnsi="Times New Roman" w:eastAsia="方正仿宋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2.2电商平台采样</w:t>
      </w:r>
    </w:p>
    <w:p w14:paraId="5AE86E17">
      <w:pPr>
        <w:spacing w:line="580" w:lineRule="exact"/>
        <w:ind w:firstLine="640" w:firstLineChars="200"/>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液体燃料产品属于易燃品，不存在电商平台采样。</w:t>
      </w:r>
    </w:p>
    <w:p w14:paraId="43CDB645">
      <w:pPr>
        <w:spacing w:line="580" w:lineRule="exact"/>
        <w:ind w:firstLine="640" w:firstLineChars="200"/>
        <w:rPr>
          <w:rFonts w:hint="eastAsia" w:ascii="宋体" w:hAnsi="宋体" w:cs="宋体"/>
          <w:b/>
          <w:bCs/>
          <w:sz w:val="32"/>
          <w:szCs w:val="32"/>
        </w:rPr>
      </w:pPr>
      <w:r>
        <w:rPr>
          <w:rFonts w:hint="eastAsia" w:ascii="Times New Roman" w:hAnsi="Times New Roman" w:eastAsia="方正仿宋_GBK"/>
          <w:kern w:val="0"/>
          <w:sz w:val="32"/>
          <w:szCs w:val="32"/>
          <w:shd w:val="clear" w:color="auto" w:fill="FFFFFF"/>
          <w:lang w:bidi="ar"/>
        </w:rPr>
        <w:t>3.</w:t>
      </w:r>
      <w:r>
        <w:rPr>
          <w:rFonts w:hint="eastAsia" w:ascii="方正黑体_GBK" w:hAnsi="方正仿宋_GBK" w:eastAsia="方正黑体_GBK" w:cs="方正仿宋_GBK"/>
          <w:kern w:val="0"/>
          <w:sz w:val="32"/>
          <w:szCs w:val="32"/>
          <w:shd w:val="clear" w:color="auto" w:fill="FFFFFF"/>
          <w:lang w:bidi="ar"/>
        </w:rPr>
        <w:t>检验依据</w:t>
      </w:r>
    </w:p>
    <w:p w14:paraId="091DE352">
      <w:pPr>
        <w:snapToGrid w:val="0"/>
        <w:spacing w:line="440" w:lineRule="exact"/>
        <w:jc w:val="center"/>
        <w:rPr>
          <w:rFonts w:hint="eastAsia" w:ascii="方正仿宋_GBK" w:hAnsi="方正仿宋_GBK" w:eastAsia="方正仿宋_GBK" w:cs="方正仿宋_GBK"/>
          <w:color w:val="000000"/>
          <w:sz w:val="28"/>
          <w:szCs w:val="28"/>
        </w:rPr>
      </w:pPr>
      <w:r>
        <w:rPr>
          <w:rFonts w:ascii="Times New Roman" w:hAnsi="Times New Roman" w:eastAsia="方正仿宋_GBK"/>
          <w:color w:val="000000"/>
          <w:sz w:val="28"/>
          <w:szCs w:val="28"/>
        </w:rPr>
        <w:t xml:space="preserve">表1 </w:t>
      </w:r>
      <w:r>
        <w:rPr>
          <w:rFonts w:hint="eastAsia" w:ascii="Times New Roman" w:hAnsi="Times New Roman" w:eastAsia="方正仿宋_GBK"/>
          <w:color w:val="000000"/>
          <w:sz w:val="28"/>
          <w:szCs w:val="28"/>
        </w:rPr>
        <w:t>醇基液体燃料</w:t>
      </w:r>
      <w:r>
        <w:rPr>
          <w:rFonts w:hint="eastAsia" w:ascii="方正仿宋_GBK" w:hAnsi="方正仿宋_GBK" w:eastAsia="方正仿宋_GBK" w:cs="方正仿宋_GBK"/>
          <w:color w:val="000000"/>
          <w:sz w:val="28"/>
          <w:szCs w:val="28"/>
        </w:rPr>
        <w:t>检验项目</w:t>
      </w:r>
    </w:p>
    <w:tbl>
      <w:tblPr>
        <w:tblStyle w:val="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7"/>
        <w:gridCol w:w="2777"/>
        <w:gridCol w:w="2826"/>
        <w:gridCol w:w="2765"/>
      </w:tblGrid>
      <w:tr w14:paraId="25716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20" w:type="pct"/>
            <w:vMerge w:val="restart"/>
            <w:noWrap w:val="0"/>
            <w:vAlign w:val="center"/>
          </w:tcPr>
          <w:p w14:paraId="2A559585">
            <w:pPr>
              <w:spacing w:line="240" w:lineRule="auto"/>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序号</w:t>
            </w:r>
          </w:p>
        </w:tc>
        <w:tc>
          <w:tcPr>
            <w:tcW w:w="1520" w:type="pct"/>
            <w:vMerge w:val="restart"/>
            <w:noWrap w:val="0"/>
            <w:vAlign w:val="center"/>
          </w:tcPr>
          <w:p w14:paraId="082F1FEE">
            <w:pPr>
              <w:spacing w:line="240" w:lineRule="auto"/>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检验项目</w:t>
            </w:r>
          </w:p>
        </w:tc>
        <w:tc>
          <w:tcPr>
            <w:tcW w:w="1547" w:type="pct"/>
            <w:vMerge w:val="restart"/>
            <w:noWrap w:val="0"/>
            <w:vAlign w:val="center"/>
          </w:tcPr>
          <w:p w14:paraId="73F43C44">
            <w:pPr>
              <w:spacing w:line="240" w:lineRule="auto"/>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判定依据</w:t>
            </w:r>
          </w:p>
        </w:tc>
        <w:tc>
          <w:tcPr>
            <w:tcW w:w="1513" w:type="pct"/>
            <w:vMerge w:val="restart"/>
            <w:noWrap w:val="0"/>
            <w:vAlign w:val="center"/>
          </w:tcPr>
          <w:p w14:paraId="2DC155CB">
            <w:pPr>
              <w:spacing w:line="240" w:lineRule="auto"/>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检测方法</w:t>
            </w:r>
          </w:p>
        </w:tc>
      </w:tr>
      <w:tr w14:paraId="2B6A2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20" w:type="pct"/>
            <w:vMerge w:val="continue"/>
            <w:noWrap w:val="0"/>
            <w:vAlign w:val="center"/>
          </w:tcPr>
          <w:p w14:paraId="0A40D5B0">
            <w:pPr>
              <w:spacing w:line="240" w:lineRule="auto"/>
              <w:jc w:val="center"/>
              <w:rPr>
                <w:rFonts w:hint="eastAsia" w:ascii="方正仿宋_GBK" w:hAnsi="方正仿宋_GBK" w:eastAsia="方正仿宋_GBK" w:cs="方正仿宋_GBK"/>
                <w:sz w:val="24"/>
                <w:szCs w:val="24"/>
              </w:rPr>
            </w:pPr>
          </w:p>
        </w:tc>
        <w:tc>
          <w:tcPr>
            <w:tcW w:w="1520" w:type="pct"/>
            <w:vMerge w:val="continue"/>
            <w:noWrap w:val="0"/>
            <w:vAlign w:val="center"/>
          </w:tcPr>
          <w:p w14:paraId="60027C56">
            <w:pPr>
              <w:snapToGrid w:val="0"/>
              <w:spacing w:line="240" w:lineRule="auto"/>
              <w:jc w:val="center"/>
              <w:rPr>
                <w:rFonts w:hint="eastAsia" w:ascii="方正仿宋_GBK" w:hAnsi="方正仿宋_GBK" w:eastAsia="方正仿宋_GBK" w:cs="方正仿宋_GBK"/>
                <w:sz w:val="24"/>
                <w:szCs w:val="24"/>
              </w:rPr>
            </w:pPr>
          </w:p>
        </w:tc>
        <w:tc>
          <w:tcPr>
            <w:tcW w:w="1547" w:type="pct"/>
            <w:vMerge w:val="continue"/>
            <w:noWrap w:val="0"/>
            <w:vAlign w:val="center"/>
          </w:tcPr>
          <w:p w14:paraId="79B87D9C">
            <w:pPr>
              <w:snapToGrid w:val="0"/>
              <w:spacing w:line="240" w:lineRule="auto"/>
              <w:jc w:val="center"/>
              <w:rPr>
                <w:rFonts w:hint="eastAsia" w:ascii="方正仿宋_GBK" w:hAnsi="方正仿宋_GBK" w:eastAsia="方正仿宋_GBK" w:cs="方正仿宋_GBK"/>
                <w:sz w:val="24"/>
                <w:szCs w:val="24"/>
              </w:rPr>
            </w:pPr>
          </w:p>
        </w:tc>
        <w:tc>
          <w:tcPr>
            <w:tcW w:w="1513" w:type="pct"/>
            <w:vMerge w:val="continue"/>
            <w:noWrap w:val="0"/>
            <w:vAlign w:val="center"/>
          </w:tcPr>
          <w:p w14:paraId="18C85CE4">
            <w:pPr>
              <w:snapToGrid w:val="0"/>
              <w:spacing w:line="240" w:lineRule="auto"/>
              <w:jc w:val="center"/>
              <w:rPr>
                <w:rFonts w:hint="eastAsia" w:ascii="方正仿宋_GBK" w:hAnsi="方正仿宋_GBK" w:eastAsia="方正仿宋_GBK" w:cs="方正仿宋_GBK"/>
                <w:sz w:val="24"/>
                <w:szCs w:val="24"/>
              </w:rPr>
            </w:pPr>
          </w:p>
        </w:tc>
      </w:tr>
      <w:tr w14:paraId="75204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 w:type="pct"/>
            <w:noWrap w:val="0"/>
            <w:vAlign w:val="center"/>
          </w:tcPr>
          <w:p w14:paraId="27F4A289">
            <w:pPr>
              <w:spacing w:line="240" w:lineRule="auto"/>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w:t>
            </w:r>
          </w:p>
        </w:tc>
        <w:tc>
          <w:tcPr>
            <w:tcW w:w="1520" w:type="pct"/>
            <w:noWrap w:val="0"/>
            <w:vAlign w:val="center"/>
          </w:tcPr>
          <w:p w14:paraId="1954396B">
            <w:pPr>
              <w:pStyle w:val="20"/>
              <w:spacing w:line="240" w:lineRule="auto"/>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醇含量</w:t>
            </w:r>
          </w:p>
        </w:tc>
        <w:tc>
          <w:tcPr>
            <w:tcW w:w="1547" w:type="pct"/>
            <w:vMerge w:val="restart"/>
            <w:noWrap w:val="0"/>
            <w:vAlign w:val="center"/>
          </w:tcPr>
          <w:p w14:paraId="0A9489D6">
            <w:pPr>
              <w:pStyle w:val="20"/>
              <w:spacing w:line="240" w:lineRule="auto"/>
              <w:ind w:firstLine="0" w:firstLineChars="0"/>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GB 16663-1996《醇基液体燃料》</w:t>
            </w:r>
          </w:p>
        </w:tc>
        <w:tc>
          <w:tcPr>
            <w:tcW w:w="1513" w:type="pct"/>
            <w:noWrap w:val="0"/>
            <w:vAlign w:val="center"/>
          </w:tcPr>
          <w:p w14:paraId="43F41CA8">
            <w:pPr>
              <w:pStyle w:val="20"/>
              <w:spacing w:line="240" w:lineRule="auto"/>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GB 16663-1996</w:t>
            </w:r>
          </w:p>
        </w:tc>
      </w:tr>
      <w:tr w14:paraId="0E79F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 w:type="pct"/>
            <w:noWrap w:val="0"/>
            <w:vAlign w:val="center"/>
          </w:tcPr>
          <w:p w14:paraId="39EBB57C">
            <w:pPr>
              <w:spacing w:line="240" w:lineRule="auto"/>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w:t>
            </w:r>
          </w:p>
        </w:tc>
        <w:tc>
          <w:tcPr>
            <w:tcW w:w="1520" w:type="pct"/>
            <w:noWrap w:val="0"/>
            <w:vAlign w:val="center"/>
          </w:tcPr>
          <w:p w14:paraId="472534FD">
            <w:pPr>
              <w:pStyle w:val="20"/>
              <w:spacing w:line="240" w:lineRule="auto"/>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密度（20℃）</w:t>
            </w:r>
          </w:p>
        </w:tc>
        <w:tc>
          <w:tcPr>
            <w:tcW w:w="1547" w:type="pct"/>
            <w:vMerge w:val="continue"/>
            <w:noWrap w:val="0"/>
            <w:vAlign w:val="center"/>
          </w:tcPr>
          <w:p w14:paraId="02A4A4DD">
            <w:pPr>
              <w:spacing w:line="240" w:lineRule="auto"/>
              <w:jc w:val="center"/>
              <w:rPr>
                <w:rFonts w:hint="eastAsia" w:ascii="方正仿宋_GBK" w:hAnsi="方正仿宋_GBK" w:eastAsia="方正仿宋_GBK" w:cs="方正仿宋_GBK"/>
                <w:sz w:val="24"/>
                <w:szCs w:val="24"/>
              </w:rPr>
            </w:pPr>
          </w:p>
        </w:tc>
        <w:tc>
          <w:tcPr>
            <w:tcW w:w="1513" w:type="pct"/>
            <w:noWrap w:val="0"/>
            <w:vAlign w:val="center"/>
          </w:tcPr>
          <w:p w14:paraId="511A2A83">
            <w:pPr>
              <w:pStyle w:val="20"/>
              <w:spacing w:line="240" w:lineRule="auto"/>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GB/T 611-2021</w:t>
            </w:r>
          </w:p>
          <w:p w14:paraId="13B747C5">
            <w:pPr>
              <w:pStyle w:val="20"/>
              <w:spacing w:line="240" w:lineRule="auto"/>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SH/T 0604-2000</w:t>
            </w:r>
          </w:p>
        </w:tc>
      </w:tr>
      <w:tr w14:paraId="29378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 w:type="pct"/>
            <w:noWrap w:val="0"/>
            <w:vAlign w:val="center"/>
          </w:tcPr>
          <w:p w14:paraId="13619D1A">
            <w:pPr>
              <w:spacing w:line="240" w:lineRule="auto"/>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w:t>
            </w:r>
          </w:p>
        </w:tc>
        <w:tc>
          <w:tcPr>
            <w:tcW w:w="1520" w:type="pct"/>
            <w:noWrap w:val="0"/>
            <w:vAlign w:val="center"/>
          </w:tcPr>
          <w:p w14:paraId="2040B96B">
            <w:pPr>
              <w:pStyle w:val="20"/>
              <w:spacing w:line="240" w:lineRule="auto"/>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机械杂质</w:t>
            </w:r>
          </w:p>
        </w:tc>
        <w:tc>
          <w:tcPr>
            <w:tcW w:w="1547" w:type="pct"/>
            <w:vMerge w:val="continue"/>
            <w:noWrap w:val="0"/>
            <w:vAlign w:val="center"/>
          </w:tcPr>
          <w:p w14:paraId="17267AD4">
            <w:pPr>
              <w:spacing w:line="240" w:lineRule="auto"/>
              <w:jc w:val="center"/>
              <w:rPr>
                <w:rFonts w:hint="eastAsia" w:ascii="方正仿宋_GBK" w:hAnsi="方正仿宋_GBK" w:eastAsia="方正仿宋_GBK" w:cs="方正仿宋_GBK"/>
                <w:sz w:val="24"/>
                <w:szCs w:val="24"/>
              </w:rPr>
            </w:pPr>
          </w:p>
        </w:tc>
        <w:tc>
          <w:tcPr>
            <w:tcW w:w="1513" w:type="pct"/>
            <w:noWrap w:val="0"/>
            <w:vAlign w:val="center"/>
          </w:tcPr>
          <w:p w14:paraId="49C50F27">
            <w:pPr>
              <w:pStyle w:val="20"/>
              <w:spacing w:line="240" w:lineRule="auto"/>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GB/T 511-2010</w:t>
            </w:r>
          </w:p>
        </w:tc>
      </w:tr>
      <w:tr w14:paraId="65604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 w:type="pct"/>
            <w:noWrap w:val="0"/>
            <w:vAlign w:val="center"/>
          </w:tcPr>
          <w:p w14:paraId="7DFA6A36">
            <w:pPr>
              <w:spacing w:line="240" w:lineRule="auto"/>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4</w:t>
            </w:r>
          </w:p>
        </w:tc>
        <w:tc>
          <w:tcPr>
            <w:tcW w:w="1520" w:type="pct"/>
            <w:noWrap w:val="0"/>
            <w:vAlign w:val="center"/>
          </w:tcPr>
          <w:p w14:paraId="64085081">
            <w:pPr>
              <w:pStyle w:val="20"/>
              <w:spacing w:line="240" w:lineRule="auto"/>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凝点</w:t>
            </w:r>
          </w:p>
        </w:tc>
        <w:tc>
          <w:tcPr>
            <w:tcW w:w="1547" w:type="pct"/>
            <w:vMerge w:val="continue"/>
            <w:noWrap w:val="0"/>
            <w:vAlign w:val="center"/>
          </w:tcPr>
          <w:p w14:paraId="5F3082CF">
            <w:pPr>
              <w:spacing w:line="240" w:lineRule="auto"/>
              <w:jc w:val="center"/>
              <w:rPr>
                <w:rFonts w:hint="eastAsia" w:ascii="方正仿宋_GBK" w:hAnsi="方正仿宋_GBK" w:eastAsia="方正仿宋_GBK" w:cs="方正仿宋_GBK"/>
                <w:sz w:val="24"/>
                <w:szCs w:val="24"/>
              </w:rPr>
            </w:pPr>
          </w:p>
        </w:tc>
        <w:tc>
          <w:tcPr>
            <w:tcW w:w="1513" w:type="pct"/>
            <w:noWrap w:val="0"/>
            <w:vAlign w:val="center"/>
          </w:tcPr>
          <w:p w14:paraId="77C2728F">
            <w:pPr>
              <w:pStyle w:val="20"/>
              <w:spacing w:line="240" w:lineRule="auto"/>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GB/T 510-2018</w:t>
            </w:r>
          </w:p>
        </w:tc>
      </w:tr>
      <w:tr w14:paraId="5AAE9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 w:hRule="atLeast"/>
          <w:jc w:val="center"/>
        </w:trPr>
        <w:tc>
          <w:tcPr>
            <w:tcW w:w="420" w:type="pct"/>
            <w:noWrap w:val="0"/>
            <w:vAlign w:val="center"/>
          </w:tcPr>
          <w:p w14:paraId="45F5D2B1">
            <w:pPr>
              <w:spacing w:line="240" w:lineRule="auto"/>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w:t>
            </w:r>
          </w:p>
        </w:tc>
        <w:tc>
          <w:tcPr>
            <w:tcW w:w="1520" w:type="pct"/>
            <w:noWrap w:val="0"/>
            <w:vAlign w:val="center"/>
          </w:tcPr>
          <w:p w14:paraId="0FC4D40B">
            <w:pPr>
              <w:pStyle w:val="20"/>
              <w:spacing w:line="240" w:lineRule="auto"/>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引燃温度</w:t>
            </w:r>
          </w:p>
        </w:tc>
        <w:tc>
          <w:tcPr>
            <w:tcW w:w="1547" w:type="pct"/>
            <w:vMerge w:val="continue"/>
            <w:noWrap w:val="0"/>
            <w:vAlign w:val="center"/>
          </w:tcPr>
          <w:p w14:paraId="51042E14">
            <w:pPr>
              <w:spacing w:line="240" w:lineRule="auto"/>
              <w:jc w:val="center"/>
              <w:rPr>
                <w:rFonts w:hint="eastAsia" w:ascii="方正仿宋_GBK" w:hAnsi="方正仿宋_GBK" w:eastAsia="方正仿宋_GBK" w:cs="方正仿宋_GBK"/>
                <w:sz w:val="24"/>
                <w:szCs w:val="24"/>
              </w:rPr>
            </w:pPr>
          </w:p>
        </w:tc>
        <w:tc>
          <w:tcPr>
            <w:tcW w:w="1513" w:type="pct"/>
            <w:noWrap w:val="0"/>
            <w:vAlign w:val="center"/>
          </w:tcPr>
          <w:p w14:paraId="17BB94B8">
            <w:pPr>
              <w:pStyle w:val="20"/>
              <w:spacing w:line="240" w:lineRule="auto"/>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GB/T 5332-2007</w:t>
            </w:r>
          </w:p>
        </w:tc>
      </w:tr>
      <w:tr w14:paraId="5B344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 w:type="pct"/>
            <w:noWrap w:val="0"/>
            <w:vAlign w:val="center"/>
          </w:tcPr>
          <w:p w14:paraId="1E8F6E2A">
            <w:pPr>
              <w:spacing w:line="240" w:lineRule="auto"/>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6</w:t>
            </w:r>
          </w:p>
        </w:tc>
        <w:tc>
          <w:tcPr>
            <w:tcW w:w="1520" w:type="pct"/>
            <w:noWrap w:val="0"/>
            <w:vAlign w:val="center"/>
          </w:tcPr>
          <w:p w14:paraId="3AD3FEEF">
            <w:pPr>
              <w:pStyle w:val="20"/>
              <w:spacing w:line="240" w:lineRule="auto"/>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pH值</w:t>
            </w:r>
          </w:p>
        </w:tc>
        <w:tc>
          <w:tcPr>
            <w:tcW w:w="1547" w:type="pct"/>
            <w:vMerge w:val="continue"/>
            <w:noWrap w:val="0"/>
            <w:vAlign w:val="center"/>
          </w:tcPr>
          <w:p w14:paraId="4FA20755">
            <w:pPr>
              <w:spacing w:line="240" w:lineRule="auto"/>
              <w:jc w:val="center"/>
              <w:rPr>
                <w:rFonts w:hint="eastAsia" w:ascii="方正仿宋_GBK" w:hAnsi="方正仿宋_GBK" w:eastAsia="方正仿宋_GBK" w:cs="方正仿宋_GBK"/>
                <w:sz w:val="24"/>
                <w:szCs w:val="24"/>
              </w:rPr>
            </w:pPr>
          </w:p>
        </w:tc>
        <w:tc>
          <w:tcPr>
            <w:tcW w:w="1513" w:type="pct"/>
            <w:noWrap w:val="0"/>
            <w:vAlign w:val="center"/>
          </w:tcPr>
          <w:p w14:paraId="63CE0859">
            <w:pPr>
              <w:pStyle w:val="20"/>
              <w:spacing w:line="240" w:lineRule="auto"/>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GB 16663-1996</w:t>
            </w:r>
          </w:p>
        </w:tc>
      </w:tr>
      <w:tr w14:paraId="51135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 w:type="pct"/>
            <w:noWrap w:val="0"/>
            <w:vAlign w:val="center"/>
          </w:tcPr>
          <w:p w14:paraId="432F70BC">
            <w:pPr>
              <w:spacing w:line="240" w:lineRule="auto"/>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7</w:t>
            </w:r>
          </w:p>
        </w:tc>
        <w:tc>
          <w:tcPr>
            <w:tcW w:w="1520" w:type="pct"/>
            <w:noWrap w:val="0"/>
            <w:vAlign w:val="center"/>
          </w:tcPr>
          <w:p w14:paraId="3C7D0E5A">
            <w:pPr>
              <w:pStyle w:val="20"/>
              <w:spacing w:line="240" w:lineRule="auto"/>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50%馏出温度</w:t>
            </w:r>
          </w:p>
        </w:tc>
        <w:tc>
          <w:tcPr>
            <w:tcW w:w="1547" w:type="pct"/>
            <w:vMerge w:val="continue"/>
            <w:noWrap w:val="0"/>
            <w:vAlign w:val="center"/>
          </w:tcPr>
          <w:p w14:paraId="7DA8D103">
            <w:pPr>
              <w:spacing w:line="240" w:lineRule="auto"/>
              <w:jc w:val="center"/>
              <w:rPr>
                <w:rFonts w:hint="eastAsia" w:ascii="方正仿宋_GBK" w:hAnsi="方正仿宋_GBK" w:eastAsia="方正仿宋_GBK" w:cs="方正仿宋_GBK"/>
                <w:sz w:val="24"/>
                <w:szCs w:val="24"/>
              </w:rPr>
            </w:pPr>
          </w:p>
        </w:tc>
        <w:tc>
          <w:tcPr>
            <w:tcW w:w="1513" w:type="pct"/>
            <w:noWrap w:val="0"/>
            <w:vAlign w:val="center"/>
          </w:tcPr>
          <w:p w14:paraId="3300FCD1">
            <w:pPr>
              <w:pStyle w:val="20"/>
              <w:spacing w:line="240" w:lineRule="auto"/>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GB 16663-1996</w:t>
            </w:r>
          </w:p>
        </w:tc>
      </w:tr>
      <w:tr w14:paraId="3B3C7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420" w:type="pct"/>
            <w:noWrap w:val="0"/>
            <w:vAlign w:val="center"/>
          </w:tcPr>
          <w:p w14:paraId="6CCCBE69">
            <w:pPr>
              <w:spacing w:line="240" w:lineRule="auto"/>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8</w:t>
            </w:r>
          </w:p>
        </w:tc>
        <w:tc>
          <w:tcPr>
            <w:tcW w:w="1520" w:type="pct"/>
            <w:noWrap w:val="0"/>
            <w:vAlign w:val="center"/>
          </w:tcPr>
          <w:p w14:paraId="57BA7D4D">
            <w:pPr>
              <w:pStyle w:val="20"/>
              <w:spacing w:line="240" w:lineRule="auto"/>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总硫含量</w:t>
            </w:r>
          </w:p>
        </w:tc>
        <w:tc>
          <w:tcPr>
            <w:tcW w:w="1547" w:type="pct"/>
            <w:vMerge w:val="continue"/>
            <w:noWrap w:val="0"/>
            <w:vAlign w:val="center"/>
          </w:tcPr>
          <w:p w14:paraId="22A5CE76">
            <w:pPr>
              <w:spacing w:line="240" w:lineRule="auto"/>
              <w:jc w:val="center"/>
              <w:rPr>
                <w:rFonts w:hint="eastAsia" w:ascii="方正仿宋_GBK" w:hAnsi="方正仿宋_GBK" w:eastAsia="方正仿宋_GBK" w:cs="方正仿宋_GBK"/>
                <w:sz w:val="24"/>
                <w:szCs w:val="24"/>
              </w:rPr>
            </w:pPr>
          </w:p>
        </w:tc>
        <w:tc>
          <w:tcPr>
            <w:tcW w:w="1513" w:type="pct"/>
            <w:noWrap w:val="0"/>
            <w:vAlign w:val="center"/>
          </w:tcPr>
          <w:p w14:paraId="4A27ADCD">
            <w:pPr>
              <w:pStyle w:val="20"/>
              <w:spacing w:line="240" w:lineRule="auto"/>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SH/T 0689-2000</w:t>
            </w:r>
          </w:p>
        </w:tc>
      </w:tr>
      <w:tr w14:paraId="378A3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420" w:type="pct"/>
            <w:noWrap w:val="0"/>
            <w:vAlign w:val="center"/>
          </w:tcPr>
          <w:p w14:paraId="47DBAF37">
            <w:pPr>
              <w:spacing w:line="240" w:lineRule="auto"/>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9</w:t>
            </w:r>
          </w:p>
        </w:tc>
        <w:tc>
          <w:tcPr>
            <w:tcW w:w="1520" w:type="pct"/>
            <w:noWrap w:val="0"/>
            <w:vAlign w:val="center"/>
          </w:tcPr>
          <w:p w14:paraId="399D68AA">
            <w:pPr>
              <w:pStyle w:val="20"/>
              <w:spacing w:line="240" w:lineRule="auto"/>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低热值</w:t>
            </w:r>
          </w:p>
        </w:tc>
        <w:tc>
          <w:tcPr>
            <w:tcW w:w="1547" w:type="pct"/>
            <w:vMerge w:val="continue"/>
            <w:noWrap w:val="0"/>
            <w:vAlign w:val="center"/>
          </w:tcPr>
          <w:p w14:paraId="17D1AED5">
            <w:pPr>
              <w:spacing w:line="240" w:lineRule="auto"/>
              <w:jc w:val="center"/>
              <w:rPr>
                <w:rFonts w:hint="eastAsia" w:ascii="方正仿宋_GBK" w:hAnsi="方正仿宋_GBK" w:eastAsia="方正仿宋_GBK" w:cs="方正仿宋_GBK"/>
                <w:sz w:val="24"/>
                <w:szCs w:val="24"/>
              </w:rPr>
            </w:pPr>
          </w:p>
        </w:tc>
        <w:tc>
          <w:tcPr>
            <w:tcW w:w="1513" w:type="pct"/>
            <w:noWrap w:val="0"/>
            <w:vAlign w:val="center"/>
          </w:tcPr>
          <w:p w14:paraId="1DE6A1AF">
            <w:pPr>
              <w:pStyle w:val="20"/>
              <w:spacing w:line="240" w:lineRule="auto"/>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GB/T 384-1981</w:t>
            </w:r>
          </w:p>
        </w:tc>
      </w:tr>
      <w:tr w14:paraId="3D4A5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420" w:type="pct"/>
            <w:noWrap w:val="0"/>
            <w:vAlign w:val="center"/>
          </w:tcPr>
          <w:p w14:paraId="5F5F5FDC">
            <w:pPr>
              <w:spacing w:line="240" w:lineRule="auto"/>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10</w:t>
            </w:r>
          </w:p>
        </w:tc>
        <w:tc>
          <w:tcPr>
            <w:tcW w:w="1520" w:type="pct"/>
            <w:noWrap w:val="0"/>
            <w:vAlign w:val="center"/>
          </w:tcPr>
          <w:p w14:paraId="20167825">
            <w:pPr>
              <w:pStyle w:val="20"/>
              <w:spacing w:line="240" w:lineRule="auto"/>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稳定性</w:t>
            </w:r>
          </w:p>
        </w:tc>
        <w:tc>
          <w:tcPr>
            <w:tcW w:w="1547" w:type="pct"/>
            <w:vMerge w:val="continue"/>
            <w:noWrap w:val="0"/>
            <w:vAlign w:val="center"/>
          </w:tcPr>
          <w:p w14:paraId="79F77BC5">
            <w:pPr>
              <w:spacing w:line="240" w:lineRule="auto"/>
              <w:jc w:val="center"/>
              <w:rPr>
                <w:rFonts w:hint="eastAsia" w:ascii="方正仿宋_GBK" w:hAnsi="方正仿宋_GBK" w:eastAsia="方正仿宋_GBK" w:cs="方正仿宋_GBK"/>
                <w:sz w:val="24"/>
                <w:szCs w:val="24"/>
              </w:rPr>
            </w:pPr>
          </w:p>
        </w:tc>
        <w:tc>
          <w:tcPr>
            <w:tcW w:w="1513" w:type="pct"/>
            <w:noWrap w:val="0"/>
            <w:vAlign w:val="center"/>
          </w:tcPr>
          <w:p w14:paraId="09CE1712">
            <w:pPr>
              <w:pStyle w:val="20"/>
              <w:spacing w:line="240" w:lineRule="auto"/>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GB/T 6986-2014</w:t>
            </w:r>
          </w:p>
        </w:tc>
      </w:tr>
      <w:tr w14:paraId="0D5E0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420" w:type="pct"/>
            <w:noWrap w:val="0"/>
            <w:vAlign w:val="center"/>
          </w:tcPr>
          <w:p w14:paraId="3EBA924B">
            <w:pPr>
              <w:spacing w:line="240" w:lineRule="auto"/>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11</w:t>
            </w:r>
          </w:p>
        </w:tc>
        <w:tc>
          <w:tcPr>
            <w:tcW w:w="1520" w:type="pct"/>
            <w:noWrap w:val="0"/>
            <w:vAlign w:val="center"/>
          </w:tcPr>
          <w:p w14:paraId="08B0A751">
            <w:pPr>
              <w:pStyle w:val="20"/>
              <w:spacing w:line="240" w:lineRule="auto"/>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甲醛试验</w:t>
            </w:r>
          </w:p>
        </w:tc>
        <w:tc>
          <w:tcPr>
            <w:tcW w:w="1547" w:type="pct"/>
            <w:vMerge w:val="continue"/>
            <w:noWrap w:val="0"/>
            <w:vAlign w:val="center"/>
          </w:tcPr>
          <w:p w14:paraId="2711DA44">
            <w:pPr>
              <w:spacing w:line="240" w:lineRule="auto"/>
              <w:jc w:val="center"/>
              <w:rPr>
                <w:rFonts w:hint="eastAsia" w:ascii="方正仿宋_GBK" w:hAnsi="方正仿宋_GBK" w:eastAsia="方正仿宋_GBK" w:cs="方正仿宋_GBK"/>
                <w:sz w:val="24"/>
                <w:szCs w:val="24"/>
              </w:rPr>
            </w:pPr>
          </w:p>
        </w:tc>
        <w:tc>
          <w:tcPr>
            <w:tcW w:w="1513" w:type="pct"/>
            <w:noWrap w:val="0"/>
            <w:vAlign w:val="center"/>
          </w:tcPr>
          <w:p w14:paraId="651D8582">
            <w:pPr>
              <w:pStyle w:val="20"/>
              <w:spacing w:line="240" w:lineRule="auto"/>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GB 16663-1996</w:t>
            </w:r>
          </w:p>
        </w:tc>
      </w:tr>
    </w:tbl>
    <w:p w14:paraId="3488CC83">
      <w:pPr>
        <w:snapToGrid w:val="0"/>
        <w:spacing w:line="440" w:lineRule="exact"/>
        <w:jc w:val="center"/>
        <w:rPr>
          <w:rFonts w:hint="eastAsia" w:ascii="方正仿宋_GBK" w:hAnsi="方正仿宋_GBK" w:eastAsia="方正仿宋_GBK" w:cs="方正仿宋_GBK"/>
          <w:color w:val="000000"/>
          <w:sz w:val="28"/>
          <w:szCs w:val="28"/>
        </w:rPr>
      </w:pPr>
      <w:r>
        <w:rPr>
          <w:rFonts w:ascii="Times New Roman" w:hAnsi="Times New Roman" w:eastAsia="方正仿宋_GBK"/>
          <w:color w:val="000000"/>
          <w:sz w:val="28"/>
          <w:szCs w:val="28"/>
        </w:rPr>
        <w:t>表</w:t>
      </w:r>
      <w:r>
        <w:rPr>
          <w:rFonts w:hint="eastAsia" w:ascii="Times New Roman" w:hAnsi="Times New Roman" w:eastAsia="方正仿宋_GBK"/>
          <w:color w:val="000000"/>
          <w:sz w:val="28"/>
          <w:szCs w:val="28"/>
        </w:rPr>
        <w:t>2</w:t>
      </w:r>
      <w:r>
        <w:rPr>
          <w:rFonts w:ascii="Times New Roman" w:hAnsi="Times New Roman" w:eastAsia="方正仿宋_GBK"/>
          <w:color w:val="000000"/>
          <w:sz w:val="28"/>
          <w:szCs w:val="28"/>
        </w:rPr>
        <w:t xml:space="preserve"> </w:t>
      </w:r>
      <w:r>
        <w:rPr>
          <w:rFonts w:hint="eastAsia" w:ascii="Times New Roman" w:hAnsi="Times New Roman" w:eastAsia="方正仿宋_GBK"/>
          <w:color w:val="000000"/>
          <w:sz w:val="28"/>
          <w:szCs w:val="28"/>
        </w:rPr>
        <w:t>轻质白油</w:t>
      </w:r>
      <w:r>
        <w:rPr>
          <w:rFonts w:hint="eastAsia" w:ascii="方正仿宋_GBK" w:hAnsi="方正仿宋_GBK" w:eastAsia="方正仿宋_GBK" w:cs="方正仿宋_GBK"/>
          <w:color w:val="000000"/>
          <w:sz w:val="28"/>
          <w:szCs w:val="28"/>
        </w:rPr>
        <w:t>检验项目</w:t>
      </w:r>
    </w:p>
    <w:tbl>
      <w:tblPr>
        <w:tblStyle w:val="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7"/>
        <w:gridCol w:w="2777"/>
        <w:gridCol w:w="2826"/>
        <w:gridCol w:w="2765"/>
      </w:tblGrid>
      <w:tr w14:paraId="5D5C6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20" w:type="pct"/>
            <w:vMerge w:val="restart"/>
            <w:noWrap w:val="0"/>
            <w:vAlign w:val="center"/>
          </w:tcPr>
          <w:p w14:paraId="3585A5A5">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序号</w:t>
            </w:r>
          </w:p>
        </w:tc>
        <w:tc>
          <w:tcPr>
            <w:tcW w:w="1520" w:type="pct"/>
            <w:vMerge w:val="restart"/>
            <w:noWrap w:val="0"/>
            <w:vAlign w:val="center"/>
          </w:tcPr>
          <w:p w14:paraId="711A953C">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检验项目</w:t>
            </w:r>
          </w:p>
        </w:tc>
        <w:tc>
          <w:tcPr>
            <w:tcW w:w="1547" w:type="pct"/>
            <w:vMerge w:val="restart"/>
            <w:noWrap w:val="0"/>
            <w:vAlign w:val="center"/>
          </w:tcPr>
          <w:p w14:paraId="57931E20">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判定依据</w:t>
            </w:r>
          </w:p>
        </w:tc>
        <w:tc>
          <w:tcPr>
            <w:tcW w:w="1513" w:type="pct"/>
            <w:vMerge w:val="restart"/>
            <w:noWrap w:val="0"/>
            <w:vAlign w:val="center"/>
          </w:tcPr>
          <w:p w14:paraId="6862D03E">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检测方法</w:t>
            </w:r>
          </w:p>
        </w:tc>
      </w:tr>
      <w:tr w14:paraId="71AE6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20" w:type="pct"/>
            <w:vMerge w:val="continue"/>
            <w:noWrap w:val="0"/>
            <w:vAlign w:val="center"/>
          </w:tcPr>
          <w:p w14:paraId="14FAB9D6">
            <w:pPr>
              <w:jc w:val="center"/>
              <w:rPr>
                <w:rFonts w:hint="eastAsia" w:ascii="方正仿宋_GBK" w:hAnsi="方正仿宋_GBK" w:eastAsia="方正仿宋_GBK" w:cs="方正仿宋_GBK"/>
                <w:sz w:val="24"/>
                <w:szCs w:val="24"/>
              </w:rPr>
            </w:pPr>
          </w:p>
        </w:tc>
        <w:tc>
          <w:tcPr>
            <w:tcW w:w="1520" w:type="pct"/>
            <w:vMerge w:val="continue"/>
            <w:noWrap w:val="0"/>
            <w:vAlign w:val="center"/>
          </w:tcPr>
          <w:p w14:paraId="6E069478">
            <w:pPr>
              <w:snapToGrid w:val="0"/>
              <w:jc w:val="center"/>
              <w:rPr>
                <w:rFonts w:hint="eastAsia" w:ascii="方正仿宋_GBK" w:hAnsi="方正仿宋_GBK" w:eastAsia="方正仿宋_GBK" w:cs="方正仿宋_GBK"/>
                <w:sz w:val="24"/>
                <w:szCs w:val="24"/>
              </w:rPr>
            </w:pPr>
          </w:p>
        </w:tc>
        <w:tc>
          <w:tcPr>
            <w:tcW w:w="1547" w:type="pct"/>
            <w:vMerge w:val="continue"/>
            <w:noWrap w:val="0"/>
            <w:vAlign w:val="center"/>
          </w:tcPr>
          <w:p w14:paraId="5E900C35">
            <w:pPr>
              <w:snapToGrid w:val="0"/>
              <w:jc w:val="center"/>
              <w:rPr>
                <w:rFonts w:hint="eastAsia" w:ascii="方正仿宋_GBK" w:hAnsi="方正仿宋_GBK" w:eastAsia="方正仿宋_GBK" w:cs="方正仿宋_GBK"/>
                <w:sz w:val="24"/>
                <w:szCs w:val="24"/>
              </w:rPr>
            </w:pPr>
          </w:p>
        </w:tc>
        <w:tc>
          <w:tcPr>
            <w:tcW w:w="1513" w:type="pct"/>
            <w:vMerge w:val="continue"/>
            <w:noWrap w:val="0"/>
            <w:vAlign w:val="center"/>
          </w:tcPr>
          <w:p w14:paraId="7FB6D679">
            <w:pPr>
              <w:snapToGrid w:val="0"/>
              <w:jc w:val="center"/>
              <w:rPr>
                <w:rFonts w:hint="eastAsia" w:ascii="方正仿宋_GBK" w:hAnsi="方正仿宋_GBK" w:eastAsia="方正仿宋_GBK" w:cs="方正仿宋_GBK"/>
                <w:sz w:val="24"/>
                <w:szCs w:val="24"/>
              </w:rPr>
            </w:pPr>
          </w:p>
        </w:tc>
      </w:tr>
      <w:tr w14:paraId="0C812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 w:type="pct"/>
            <w:noWrap w:val="0"/>
            <w:vAlign w:val="center"/>
          </w:tcPr>
          <w:p w14:paraId="28ADF5FF">
            <w:pPr>
              <w:spacing w:line="24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w:t>
            </w:r>
          </w:p>
        </w:tc>
        <w:tc>
          <w:tcPr>
            <w:tcW w:w="1520" w:type="pct"/>
            <w:noWrap w:val="0"/>
            <w:vAlign w:val="center"/>
          </w:tcPr>
          <w:p w14:paraId="337E93C0">
            <w:pPr>
              <w:pStyle w:val="20"/>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馏程</w:t>
            </w:r>
          </w:p>
        </w:tc>
        <w:tc>
          <w:tcPr>
            <w:tcW w:w="1547" w:type="pct"/>
            <w:vMerge w:val="restart"/>
            <w:noWrap w:val="0"/>
            <w:vAlign w:val="center"/>
          </w:tcPr>
          <w:p w14:paraId="2A6AF522">
            <w:pPr>
              <w:pStyle w:val="20"/>
              <w:ind w:firstLine="0" w:firstLineChars="0"/>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NB/SH/T 0913-2015《轻质白油》</w:t>
            </w:r>
          </w:p>
        </w:tc>
        <w:tc>
          <w:tcPr>
            <w:tcW w:w="1513" w:type="pct"/>
            <w:noWrap w:val="0"/>
            <w:vAlign w:val="center"/>
          </w:tcPr>
          <w:p w14:paraId="63E7FAF1">
            <w:pPr>
              <w:pStyle w:val="20"/>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GB/T6536-2010</w:t>
            </w:r>
          </w:p>
        </w:tc>
      </w:tr>
      <w:tr w14:paraId="407C5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 w:type="pct"/>
            <w:noWrap w:val="0"/>
            <w:vAlign w:val="center"/>
          </w:tcPr>
          <w:p w14:paraId="2014D0C8">
            <w:pPr>
              <w:spacing w:line="24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w:t>
            </w:r>
          </w:p>
        </w:tc>
        <w:tc>
          <w:tcPr>
            <w:tcW w:w="1520" w:type="pct"/>
            <w:noWrap w:val="0"/>
            <w:vAlign w:val="center"/>
          </w:tcPr>
          <w:p w14:paraId="01A93457">
            <w:pPr>
              <w:pStyle w:val="20"/>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闪点（闭口）</w:t>
            </w:r>
          </w:p>
        </w:tc>
        <w:tc>
          <w:tcPr>
            <w:tcW w:w="1547" w:type="pct"/>
            <w:vMerge w:val="continue"/>
            <w:noWrap w:val="0"/>
            <w:vAlign w:val="center"/>
          </w:tcPr>
          <w:p w14:paraId="5F872933">
            <w:pPr>
              <w:spacing w:line="240" w:lineRule="exact"/>
              <w:jc w:val="center"/>
              <w:rPr>
                <w:rFonts w:hint="eastAsia" w:ascii="方正仿宋_GBK" w:hAnsi="方正仿宋_GBK" w:eastAsia="方正仿宋_GBK" w:cs="方正仿宋_GBK"/>
                <w:sz w:val="24"/>
                <w:szCs w:val="24"/>
              </w:rPr>
            </w:pPr>
          </w:p>
        </w:tc>
        <w:tc>
          <w:tcPr>
            <w:tcW w:w="1513" w:type="pct"/>
            <w:noWrap w:val="0"/>
            <w:vAlign w:val="center"/>
          </w:tcPr>
          <w:p w14:paraId="0B1E9085">
            <w:pPr>
              <w:pStyle w:val="20"/>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GB/T 261-2021</w:t>
            </w:r>
          </w:p>
        </w:tc>
      </w:tr>
      <w:tr w14:paraId="41E83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 w:type="pct"/>
            <w:noWrap w:val="0"/>
            <w:vAlign w:val="center"/>
          </w:tcPr>
          <w:p w14:paraId="77B180FC">
            <w:pPr>
              <w:spacing w:line="24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w:t>
            </w:r>
          </w:p>
        </w:tc>
        <w:tc>
          <w:tcPr>
            <w:tcW w:w="1520" w:type="pct"/>
            <w:noWrap w:val="0"/>
            <w:vAlign w:val="center"/>
          </w:tcPr>
          <w:p w14:paraId="25DDCC0A">
            <w:pPr>
              <w:pStyle w:val="20"/>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运动粘度（40℃）</w:t>
            </w:r>
          </w:p>
        </w:tc>
        <w:tc>
          <w:tcPr>
            <w:tcW w:w="1547" w:type="pct"/>
            <w:vMerge w:val="continue"/>
            <w:noWrap w:val="0"/>
            <w:vAlign w:val="center"/>
          </w:tcPr>
          <w:p w14:paraId="20FE5D8C">
            <w:pPr>
              <w:spacing w:line="240" w:lineRule="exact"/>
              <w:jc w:val="center"/>
              <w:rPr>
                <w:rFonts w:hint="eastAsia" w:ascii="方正仿宋_GBK" w:hAnsi="方正仿宋_GBK" w:eastAsia="方正仿宋_GBK" w:cs="方正仿宋_GBK"/>
                <w:sz w:val="24"/>
                <w:szCs w:val="24"/>
              </w:rPr>
            </w:pPr>
          </w:p>
        </w:tc>
        <w:tc>
          <w:tcPr>
            <w:tcW w:w="1513" w:type="pct"/>
            <w:noWrap w:val="0"/>
            <w:vAlign w:val="center"/>
          </w:tcPr>
          <w:p w14:paraId="0C4165EF">
            <w:pPr>
              <w:pStyle w:val="20"/>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GB/T 265-1988</w:t>
            </w:r>
          </w:p>
        </w:tc>
      </w:tr>
      <w:tr w14:paraId="5420F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 w:type="pct"/>
            <w:noWrap w:val="0"/>
            <w:vAlign w:val="center"/>
          </w:tcPr>
          <w:p w14:paraId="6B9D8285">
            <w:pPr>
              <w:spacing w:line="24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4</w:t>
            </w:r>
          </w:p>
        </w:tc>
        <w:tc>
          <w:tcPr>
            <w:tcW w:w="1520" w:type="pct"/>
            <w:noWrap w:val="0"/>
            <w:vAlign w:val="center"/>
          </w:tcPr>
          <w:p w14:paraId="4BBE1755">
            <w:pPr>
              <w:pStyle w:val="20"/>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芳烃含量</w:t>
            </w:r>
          </w:p>
        </w:tc>
        <w:tc>
          <w:tcPr>
            <w:tcW w:w="1547" w:type="pct"/>
            <w:vMerge w:val="continue"/>
            <w:noWrap w:val="0"/>
            <w:vAlign w:val="center"/>
          </w:tcPr>
          <w:p w14:paraId="47F8D61E">
            <w:pPr>
              <w:spacing w:line="240" w:lineRule="exact"/>
              <w:jc w:val="center"/>
              <w:rPr>
                <w:rFonts w:hint="eastAsia" w:ascii="方正仿宋_GBK" w:hAnsi="方正仿宋_GBK" w:eastAsia="方正仿宋_GBK" w:cs="方正仿宋_GBK"/>
                <w:sz w:val="24"/>
                <w:szCs w:val="24"/>
              </w:rPr>
            </w:pPr>
          </w:p>
        </w:tc>
        <w:tc>
          <w:tcPr>
            <w:tcW w:w="1513" w:type="pct"/>
            <w:noWrap w:val="0"/>
            <w:vAlign w:val="center"/>
          </w:tcPr>
          <w:p w14:paraId="2A7BEC7F">
            <w:pPr>
              <w:pStyle w:val="20"/>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NB/SH/T 0913-2015</w:t>
            </w:r>
          </w:p>
        </w:tc>
      </w:tr>
      <w:tr w14:paraId="0868A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 w:hRule="atLeast"/>
          <w:jc w:val="center"/>
        </w:trPr>
        <w:tc>
          <w:tcPr>
            <w:tcW w:w="420" w:type="pct"/>
            <w:noWrap w:val="0"/>
            <w:vAlign w:val="center"/>
          </w:tcPr>
          <w:p w14:paraId="419492C8">
            <w:pPr>
              <w:spacing w:line="24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w:t>
            </w:r>
          </w:p>
        </w:tc>
        <w:tc>
          <w:tcPr>
            <w:tcW w:w="1520" w:type="pct"/>
            <w:noWrap w:val="0"/>
            <w:vAlign w:val="center"/>
          </w:tcPr>
          <w:p w14:paraId="152B8D92">
            <w:pPr>
              <w:pStyle w:val="20"/>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倾点</w:t>
            </w:r>
          </w:p>
        </w:tc>
        <w:tc>
          <w:tcPr>
            <w:tcW w:w="1547" w:type="pct"/>
            <w:vMerge w:val="continue"/>
            <w:noWrap w:val="0"/>
            <w:vAlign w:val="center"/>
          </w:tcPr>
          <w:p w14:paraId="03BC1ED1">
            <w:pPr>
              <w:spacing w:line="240" w:lineRule="exact"/>
              <w:jc w:val="center"/>
              <w:rPr>
                <w:rFonts w:hint="eastAsia" w:ascii="方正仿宋_GBK" w:hAnsi="方正仿宋_GBK" w:eastAsia="方正仿宋_GBK" w:cs="方正仿宋_GBK"/>
                <w:sz w:val="24"/>
                <w:szCs w:val="24"/>
              </w:rPr>
            </w:pPr>
          </w:p>
        </w:tc>
        <w:tc>
          <w:tcPr>
            <w:tcW w:w="1513" w:type="pct"/>
            <w:noWrap w:val="0"/>
            <w:vAlign w:val="center"/>
          </w:tcPr>
          <w:p w14:paraId="20135724">
            <w:pPr>
              <w:pStyle w:val="20"/>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GB/T 3535-2006</w:t>
            </w:r>
          </w:p>
        </w:tc>
      </w:tr>
      <w:tr w14:paraId="1D72B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 w:type="pct"/>
            <w:noWrap w:val="0"/>
            <w:vAlign w:val="center"/>
          </w:tcPr>
          <w:p w14:paraId="700217EB">
            <w:pPr>
              <w:spacing w:line="24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6</w:t>
            </w:r>
          </w:p>
        </w:tc>
        <w:tc>
          <w:tcPr>
            <w:tcW w:w="1520" w:type="pct"/>
            <w:noWrap w:val="0"/>
            <w:vAlign w:val="center"/>
          </w:tcPr>
          <w:p w14:paraId="14A6AEE5">
            <w:pPr>
              <w:pStyle w:val="20"/>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易炭化物</w:t>
            </w:r>
          </w:p>
        </w:tc>
        <w:tc>
          <w:tcPr>
            <w:tcW w:w="1547" w:type="pct"/>
            <w:vMerge w:val="continue"/>
            <w:noWrap w:val="0"/>
            <w:vAlign w:val="center"/>
          </w:tcPr>
          <w:p w14:paraId="1ABBBE7B">
            <w:pPr>
              <w:spacing w:line="240" w:lineRule="exact"/>
              <w:jc w:val="center"/>
              <w:rPr>
                <w:rFonts w:hint="eastAsia" w:ascii="方正仿宋_GBK" w:hAnsi="方正仿宋_GBK" w:eastAsia="方正仿宋_GBK" w:cs="方正仿宋_GBK"/>
                <w:sz w:val="24"/>
                <w:szCs w:val="24"/>
              </w:rPr>
            </w:pPr>
          </w:p>
        </w:tc>
        <w:tc>
          <w:tcPr>
            <w:tcW w:w="1513" w:type="pct"/>
            <w:noWrap w:val="0"/>
            <w:vAlign w:val="center"/>
          </w:tcPr>
          <w:p w14:paraId="704766DA">
            <w:pPr>
              <w:pStyle w:val="20"/>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GB/T 11079-2015</w:t>
            </w:r>
          </w:p>
        </w:tc>
      </w:tr>
      <w:tr w14:paraId="0B06C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 w:type="pct"/>
            <w:noWrap w:val="0"/>
            <w:vAlign w:val="center"/>
          </w:tcPr>
          <w:p w14:paraId="4E55A896">
            <w:pPr>
              <w:spacing w:line="24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7</w:t>
            </w:r>
          </w:p>
        </w:tc>
        <w:tc>
          <w:tcPr>
            <w:tcW w:w="1520" w:type="pct"/>
            <w:noWrap w:val="0"/>
            <w:vAlign w:val="center"/>
          </w:tcPr>
          <w:p w14:paraId="1D60DB99">
            <w:pPr>
              <w:pStyle w:val="20"/>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密度（20℃）</w:t>
            </w:r>
          </w:p>
        </w:tc>
        <w:tc>
          <w:tcPr>
            <w:tcW w:w="1547" w:type="pct"/>
            <w:vMerge w:val="continue"/>
            <w:noWrap w:val="0"/>
            <w:vAlign w:val="center"/>
          </w:tcPr>
          <w:p w14:paraId="4C37CE7B">
            <w:pPr>
              <w:spacing w:line="240" w:lineRule="exact"/>
              <w:jc w:val="center"/>
              <w:rPr>
                <w:rFonts w:hint="eastAsia" w:ascii="方正仿宋_GBK" w:hAnsi="方正仿宋_GBK" w:eastAsia="方正仿宋_GBK" w:cs="方正仿宋_GBK"/>
                <w:sz w:val="24"/>
                <w:szCs w:val="24"/>
              </w:rPr>
            </w:pPr>
          </w:p>
        </w:tc>
        <w:tc>
          <w:tcPr>
            <w:tcW w:w="1513" w:type="pct"/>
            <w:noWrap w:val="0"/>
            <w:vAlign w:val="center"/>
          </w:tcPr>
          <w:p w14:paraId="28C182AE">
            <w:pPr>
              <w:pStyle w:val="20"/>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GB/T 1884-2000</w:t>
            </w:r>
          </w:p>
          <w:p w14:paraId="67D02E6A">
            <w:pPr>
              <w:pStyle w:val="20"/>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GB/T 1885-1998</w:t>
            </w:r>
          </w:p>
          <w:p w14:paraId="231FDB9C">
            <w:pPr>
              <w:pStyle w:val="20"/>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SH/T0604-2000</w:t>
            </w:r>
          </w:p>
        </w:tc>
      </w:tr>
      <w:tr w14:paraId="343D2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420" w:type="pct"/>
            <w:noWrap w:val="0"/>
            <w:vAlign w:val="center"/>
          </w:tcPr>
          <w:p w14:paraId="10C7366B">
            <w:pPr>
              <w:spacing w:line="24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8</w:t>
            </w:r>
          </w:p>
        </w:tc>
        <w:tc>
          <w:tcPr>
            <w:tcW w:w="1520" w:type="pct"/>
            <w:noWrap w:val="0"/>
            <w:vAlign w:val="center"/>
          </w:tcPr>
          <w:p w14:paraId="45D71C84">
            <w:pPr>
              <w:pStyle w:val="20"/>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颜色（赛波特颜色号）</w:t>
            </w:r>
          </w:p>
        </w:tc>
        <w:tc>
          <w:tcPr>
            <w:tcW w:w="1547" w:type="pct"/>
            <w:vMerge w:val="continue"/>
            <w:noWrap w:val="0"/>
            <w:vAlign w:val="center"/>
          </w:tcPr>
          <w:p w14:paraId="2229CAAA">
            <w:pPr>
              <w:spacing w:line="240" w:lineRule="exact"/>
              <w:jc w:val="center"/>
              <w:rPr>
                <w:rFonts w:hint="eastAsia" w:ascii="方正仿宋_GBK" w:hAnsi="方正仿宋_GBK" w:eastAsia="方正仿宋_GBK" w:cs="方正仿宋_GBK"/>
                <w:sz w:val="24"/>
                <w:szCs w:val="24"/>
              </w:rPr>
            </w:pPr>
          </w:p>
        </w:tc>
        <w:tc>
          <w:tcPr>
            <w:tcW w:w="1513" w:type="pct"/>
            <w:noWrap w:val="0"/>
            <w:vAlign w:val="center"/>
          </w:tcPr>
          <w:p w14:paraId="3998EE25">
            <w:pPr>
              <w:pStyle w:val="20"/>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GB/T 3555-2022</w:t>
            </w:r>
          </w:p>
        </w:tc>
      </w:tr>
      <w:tr w14:paraId="5F511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420" w:type="pct"/>
            <w:noWrap w:val="0"/>
            <w:vAlign w:val="center"/>
          </w:tcPr>
          <w:p w14:paraId="50F43918">
            <w:pPr>
              <w:spacing w:line="24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9</w:t>
            </w:r>
          </w:p>
        </w:tc>
        <w:tc>
          <w:tcPr>
            <w:tcW w:w="1520" w:type="pct"/>
            <w:noWrap w:val="0"/>
            <w:vAlign w:val="center"/>
          </w:tcPr>
          <w:p w14:paraId="3E2366CB">
            <w:pPr>
              <w:pStyle w:val="20"/>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硫含量</w:t>
            </w:r>
          </w:p>
        </w:tc>
        <w:tc>
          <w:tcPr>
            <w:tcW w:w="1547" w:type="pct"/>
            <w:vMerge w:val="continue"/>
            <w:noWrap w:val="0"/>
            <w:vAlign w:val="center"/>
          </w:tcPr>
          <w:p w14:paraId="0196A416">
            <w:pPr>
              <w:spacing w:line="240" w:lineRule="exact"/>
              <w:jc w:val="center"/>
              <w:rPr>
                <w:rFonts w:hint="eastAsia" w:ascii="方正仿宋_GBK" w:hAnsi="方正仿宋_GBK" w:eastAsia="方正仿宋_GBK" w:cs="方正仿宋_GBK"/>
                <w:sz w:val="24"/>
                <w:szCs w:val="24"/>
              </w:rPr>
            </w:pPr>
          </w:p>
        </w:tc>
        <w:tc>
          <w:tcPr>
            <w:tcW w:w="1513" w:type="pct"/>
            <w:noWrap w:val="0"/>
            <w:vAlign w:val="center"/>
          </w:tcPr>
          <w:p w14:paraId="4FC529CE">
            <w:pPr>
              <w:pStyle w:val="20"/>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SH/T 0689-2000</w:t>
            </w:r>
          </w:p>
        </w:tc>
      </w:tr>
      <w:tr w14:paraId="73E21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420" w:type="pct"/>
            <w:noWrap w:val="0"/>
            <w:vAlign w:val="center"/>
          </w:tcPr>
          <w:p w14:paraId="1A474D14">
            <w:pPr>
              <w:spacing w:line="24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10</w:t>
            </w:r>
          </w:p>
        </w:tc>
        <w:tc>
          <w:tcPr>
            <w:tcW w:w="1520" w:type="pct"/>
            <w:noWrap w:val="0"/>
            <w:vAlign w:val="center"/>
          </w:tcPr>
          <w:p w14:paraId="34605112">
            <w:pPr>
              <w:pStyle w:val="20"/>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铜片腐蚀（50℃，3h）</w:t>
            </w:r>
          </w:p>
        </w:tc>
        <w:tc>
          <w:tcPr>
            <w:tcW w:w="1547" w:type="pct"/>
            <w:vMerge w:val="continue"/>
            <w:noWrap w:val="0"/>
            <w:vAlign w:val="center"/>
          </w:tcPr>
          <w:p w14:paraId="3955BE45">
            <w:pPr>
              <w:spacing w:line="240" w:lineRule="exact"/>
              <w:jc w:val="center"/>
              <w:rPr>
                <w:rFonts w:hint="eastAsia" w:ascii="方正仿宋_GBK" w:hAnsi="方正仿宋_GBK" w:eastAsia="方正仿宋_GBK" w:cs="方正仿宋_GBK"/>
                <w:sz w:val="24"/>
                <w:szCs w:val="24"/>
              </w:rPr>
            </w:pPr>
          </w:p>
        </w:tc>
        <w:tc>
          <w:tcPr>
            <w:tcW w:w="1513" w:type="pct"/>
            <w:noWrap w:val="0"/>
            <w:vAlign w:val="center"/>
          </w:tcPr>
          <w:p w14:paraId="358F5512">
            <w:pPr>
              <w:pStyle w:val="20"/>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GB/T 5096-2017</w:t>
            </w:r>
          </w:p>
        </w:tc>
      </w:tr>
      <w:tr w14:paraId="49044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420" w:type="pct"/>
            <w:noWrap w:val="0"/>
            <w:vAlign w:val="center"/>
          </w:tcPr>
          <w:p w14:paraId="4B2D33C9">
            <w:pPr>
              <w:spacing w:line="24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11</w:t>
            </w:r>
          </w:p>
        </w:tc>
        <w:tc>
          <w:tcPr>
            <w:tcW w:w="1520" w:type="pct"/>
            <w:noWrap w:val="0"/>
            <w:vAlign w:val="center"/>
          </w:tcPr>
          <w:p w14:paraId="75C4D722">
            <w:pPr>
              <w:pStyle w:val="20"/>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溴指数</w:t>
            </w:r>
          </w:p>
        </w:tc>
        <w:tc>
          <w:tcPr>
            <w:tcW w:w="1547" w:type="pct"/>
            <w:vMerge w:val="continue"/>
            <w:noWrap w:val="0"/>
            <w:vAlign w:val="center"/>
          </w:tcPr>
          <w:p w14:paraId="64BB184D">
            <w:pPr>
              <w:spacing w:line="240" w:lineRule="exact"/>
              <w:jc w:val="center"/>
              <w:rPr>
                <w:rFonts w:hint="eastAsia" w:ascii="方正仿宋_GBK" w:hAnsi="方正仿宋_GBK" w:eastAsia="方正仿宋_GBK" w:cs="方正仿宋_GBK"/>
                <w:sz w:val="24"/>
                <w:szCs w:val="24"/>
              </w:rPr>
            </w:pPr>
          </w:p>
        </w:tc>
        <w:tc>
          <w:tcPr>
            <w:tcW w:w="1513" w:type="pct"/>
            <w:noWrap w:val="0"/>
            <w:vAlign w:val="center"/>
          </w:tcPr>
          <w:p w14:paraId="24EF257F">
            <w:pPr>
              <w:pStyle w:val="20"/>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SH/T 0630-1996</w:t>
            </w:r>
          </w:p>
        </w:tc>
      </w:tr>
      <w:tr w14:paraId="289B6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420" w:type="pct"/>
            <w:noWrap w:val="0"/>
            <w:vAlign w:val="center"/>
          </w:tcPr>
          <w:p w14:paraId="64BD78B1">
            <w:pPr>
              <w:spacing w:line="24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12</w:t>
            </w:r>
          </w:p>
        </w:tc>
        <w:tc>
          <w:tcPr>
            <w:tcW w:w="1520" w:type="pct"/>
            <w:noWrap w:val="0"/>
            <w:vAlign w:val="center"/>
          </w:tcPr>
          <w:p w14:paraId="66455A68">
            <w:pPr>
              <w:pStyle w:val="20"/>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机械杂质及水分</w:t>
            </w:r>
          </w:p>
        </w:tc>
        <w:tc>
          <w:tcPr>
            <w:tcW w:w="1547" w:type="pct"/>
            <w:vMerge w:val="continue"/>
            <w:noWrap w:val="0"/>
            <w:vAlign w:val="center"/>
          </w:tcPr>
          <w:p w14:paraId="1241E611">
            <w:pPr>
              <w:pStyle w:val="20"/>
              <w:ind w:firstLine="480"/>
              <w:rPr>
                <w:rFonts w:hint="eastAsia" w:ascii="方正仿宋_GBK" w:hAnsi="方正仿宋_GBK" w:eastAsia="方正仿宋_GBK" w:cs="方正仿宋_GBK"/>
                <w:sz w:val="24"/>
                <w:szCs w:val="24"/>
              </w:rPr>
            </w:pPr>
          </w:p>
        </w:tc>
        <w:tc>
          <w:tcPr>
            <w:tcW w:w="1513" w:type="pct"/>
            <w:noWrap w:val="0"/>
            <w:vAlign w:val="center"/>
          </w:tcPr>
          <w:p w14:paraId="363FB2CF">
            <w:pPr>
              <w:pStyle w:val="20"/>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GB/T 511-2010</w:t>
            </w:r>
          </w:p>
          <w:p w14:paraId="7C0DF508">
            <w:pPr>
              <w:pStyle w:val="20"/>
              <w:ind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GB/T 260-2016</w:t>
            </w:r>
          </w:p>
          <w:p w14:paraId="091F4B17">
            <w:pPr>
              <w:pStyle w:val="20"/>
              <w:ind w:firstLine="36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目测</w:t>
            </w:r>
          </w:p>
        </w:tc>
      </w:tr>
    </w:tbl>
    <w:p w14:paraId="6EA0E8BC">
      <w:pPr>
        <w:spacing w:line="58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检验方法包括相关产品标准及试验方法标准。</w:t>
      </w:r>
    </w:p>
    <w:p w14:paraId="274834FD">
      <w:pPr>
        <w:spacing w:line="580" w:lineRule="exact"/>
        <w:ind w:firstLine="560"/>
        <w:rPr>
          <w:rFonts w:hint="eastAsia"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7597105F">
      <w:pPr>
        <w:spacing w:line="580" w:lineRule="exact"/>
        <w:ind w:firstLine="640" w:firstLineChars="200"/>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黑体_GBK"/>
          <w:kern w:val="0"/>
          <w:sz w:val="32"/>
          <w:szCs w:val="32"/>
          <w:shd w:val="clear" w:color="auto" w:fill="FFFFFF"/>
          <w:lang w:bidi="ar"/>
        </w:rPr>
        <w:t>4</w:t>
      </w:r>
      <w:r>
        <w:rPr>
          <w:rFonts w:ascii="Times New Roman" w:hAnsi="Times New Roman" w:eastAsia="方正黑体_GBK"/>
          <w:kern w:val="0"/>
          <w:sz w:val="32"/>
          <w:szCs w:val="32"/>
          <w:shd w:val="clear" w:color="auto" w:fill="FFFFFF"/>
          <w:lang w:bidi="ar"/>
        </w:rPr>
        <w:t>.</w:t>
      </w:r>
      <w:r>
        <w:rPr>
          <w:rFonts w:hint="eastAsia" w:ascii="方正黑体_GBK" w:hAnsi="方正仿宋_GBK" w:eastAsia="方正黑体_GBK" w:cs="方正仿宋_GBK"/>
          <w:kern w:val="0"/>
          <w:sz w:val="32"/>
          <w:szCs w:val="32"/>
          <w:shd w:val="clear" w:color="auto" w:fill="FFFFFF"/>
          <w:lang w:bidi="ar"/>
        </w:rPr>
        <w:t>判定规则</w:t>
      </w:r>
    </w:p>
    <w:p w14:paraId="1AAF1E20">
      <w:pPr>
        <w:spacing w:line="580" w:lineRule="exact"/>
        <w:ind w:firstLine="643" w:firstLineChars="200"/>
        <w:rPr>
          <w:rFonts w:hint="eastAsia" w:ascii="方正仿宋_GBK" w:hAnsi="方正仿宋_GBK" w:eastAsia="方正仿宋_GBK" w:cs="方正仿宋_GBK"/>
          <w:b/>
          <w:bCs/>
          <w:sz w:val="32"/>
          <w:szCs w:val="32"/>
        </w:rPr>
      </w:pPr>
      <w:r>
        <w:rPr>
          <w:rFonts w:hint="eastAsia" w:ascii="方正楷体_GBK" w:hAnsi="方正楷体_GBK" w:eastAsia="方正楷体_GBK" w:cs="方正楷体_GBK"/>
          <w:b/>
          <w:bCs/>
          <w:kern w:val="0"/>
          <w:sz w:val="32"/>
          <w:szCs w:val="32"/>
          <w:shd w:val="clear" w:color="auto" w:fill="FFFFFF"/>
          <w:lang w:bidi="ar"/>
        </w:rPr>
        <w:t>4.1依据标准</w:t>
      </w:r>
    </w:p>
    <w:p w14:paraId="4B97096D">
      <w:pPr>
        <w:spacing w:line="580" w:lineRule="exact"/>
        <w:ind w:firstLine="560"/>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sz w:val="32"/>
          <w:szCs w:val="32"/>
        </w:rPr>
        <w:t>GB 16663-1996《醇基液体燃料》</w:t>
      </w:r>
    </w:p>
    <w:p w14:paraId="32E786CD">
      <w:pPr>
        <w:spacing w:line="580" w:lineRule="exact"/>
        <w:ind w:firstLine="560"/>
        <w:rPr>
          <w:rFonts w:hint="eastAsia" w:ascii="方正仿宋_GBK" w:hAnsi="方正仿宋_GBK" w:eastAsia="方正仿宋_GBK" w:cs="方正仿宋_GBK"/>
          <w:sz w:val="32"/>
          <w:szCs w:val="32"/>
        </w:rPr>
      </w:pPr>
      <w:r>
        <w:rPr>
          <w:rFonts w:ascii="方正仿宋_GBK" w:hAnsi="方正仿宋_GBK" w:eastAsia="方正仿宋_GBK" w:cs="方正仿宋_GBK"/>
          <w:sz w:val="32"/>
          <w:szCs w:val="32"/>
        </w:rPr>
        <w:t>NB/SH/T 0913-</w:t>
      </w:r>
      <w:r>
        <w:rPr>
          <w:rFonts w:hint="eastAsia" w:ascii="方正仿宋_GBK" w:hAnsi="方正仿宋_GBK" w:eastAsia="方正仿宋_GBK" w:cs="方正仿宋_GBK"/>
          <w:sz w:val="32"/>
          <w:szCs w:val="32"/>
        </w:rPr>
        <w:t>2015《轻质白油》</w:t>
      </w:r>
    </w:p>
    <w:p w14:paraId="4E832C67">
      <w:pPr>
        <w:spacing w:line="580" w:lineRule="exact"/>
        <w:ind w:firstLine="643" w:firstLineChars="200"/>
        <w:rPr>
          <w:rFonts w:hint="eastAsia" w:ascii="方正仿宋_GBK" w:hAnsi="方正仿宋_GBK" w:eastAsia="方正仿宋_GBK" w:cs="方正仿宋_GBK"/>
          <w:b/>
          <w:bCs/>
          <w:sz w:val="32"/>
          <w:szCs w:val="32"/>
        </w:rPr>
      </w:pPr>
      <w:r>
        <w:rPr>
          <w:rFonts w:hint="eastAsia" w:ascii="方正楷体_GBK" w:hAnsi="方正楷体_GBK" w:eastAsia="方正楷体_GBK" w:cs="方正楷体_GBK"/>
          <w:b/>
          <w:bCs/>
          <w:kern w:val="0"/>
          <w:sz w:val="32"/>
          <w:szCs w:val="32"/>
          <w:shd w:val="clear" w:color="auto" w:fill="FFFFFF"/>
          <w:lang w:bidi="ar"/>
        </w:rPr>
        <w:t>4.2判定原则</w:t>
      </w:r>
    </w:p>
    <w:p w14:paraId="16197459">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经检验，检验项目全部合格，判定为被抽查产品合格；检验项目中任一项或一项以上不合格，判定为被抽查产品不合格。</w:t>
      </w:r>
    </w:p>
    <w:p w14:paraId="386733A1">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3FC4D7AC">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03070F39">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639735BD">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00ECEE50">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78863663">
      <w:pPr>
        <w:spacing w:line="580" w:lineRule="exact"/>
        <w:ind w:firstLine="640" w:firstLineChars="200"/>
        <w:rPr>
          <w:rFonts w:hint="eastAsia" w:ascii="方正黑体_GBK" w:hAnsi="方正仿宋_GBK" w:eastAsia="方正黑体_GBK" w:cs="方正仿宋_GBK"/>
          <w:kern w:val="0"/>
          <w:sz w:val="32"/>
          <w:szCs w:val="32"/>
          <w:shd w:val="clear" w:color="auto" w:fill="FFFFFF"/>
          <w:lang w:bidi="ar"/>
        </w:rPr>
      </w:pPr>
      <w:r>
        <w:rPr>
          <w:rFonts w:hint="eastAsia" w:ascii="Times New Roman" w:hAnsi="Times New Roman" w:eastAsia="方正黑体_GBK"/>
          <w:kern w:val="0"/>
          <w:sz w:val="32"/>
          <w:szCs w:val="32"/>
          <w:shd w:val="clear" w:color="auto" w:fill="FFFFFF"/>
          <w:lang w:bidi="ar"/>
        </w:rPr>
        <w:t>5</w:t>
      </w:r>
      <w:r>
        <w:rPr>
          <w:rFonts w:ascii="Times New Roman" w:hAnsi="Times New Roman" w:eastAsia="方正黑体_GBK"/>
          <w:kern w:val="0"/>
          <w:sz w:val="32"/>
          <w:szCs w:val="32"/>
          <w:shd w:val="clear" w:color="auto" w:fill="FFFFFF"/>
          <w:lang w:bidi="ar"/>
        </w:rPr>
        <w:t>.</w:t>
      </w:r>
      <w:r>
        <w:rPr>
          <w:rFonts w:hint="eastAsia" w:ascii="方正黑体_GBK" w:hAnsi="方正仿宋_GBK" w:eastAsia="方正黑体_GBK" w:cs="方正仿宋_GBK"/>
          <w:kern w:val="0"/>
          <w:sz w:val="32"/>
          <w:szCs w:val="32"/>
          <w:shd w:val="clear" w:color="auto" w:fill="FFFFFF"/>
          <w:lang w:bidi="ar"/>
        </w:rPr>
        <w:t>异议处理</w:t>
      </w:r>
    </w:p>
    <w:p w14:paraId="294EA182">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0A6E5225">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50C77B1C">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p w14:paraId="49DBBF92">
      <w:pPr>
        <w:spacing w:line="580" w:lineRule="exact"/>
        <w:ind w:firstLine="640" w:firstLineChars="200"/>
        <w:rPr>
          <w:rFonts w:hint="eastAsia" w:ascii="方正仿宋_GBK" w:hAnsi="方正仿宋_GBK" w:eastAsia="方正仿宋_GBK" w:cs="方正仿宋_GBK"/>
          <w:sz w:val="32"/>
          <w:szCs w:val="32"/>
        </w:rPr>
      </w:pPr>
    </w:p>
    <w:p w14:paraId="3F8D3C83">
      <w:pPr>
        <w:spacing w:line="580" w:lineRule="exact"/>
        <w:ind w:firstLine="560"/>
        <w:rPr>
          <w:rFonts w:hint="eastAsia" w:ascii="宋体" w:hAnsi="宋体"/>
          <w:color w:val="000000"/>
          <w:sz w:val="32"/>
          <w:szCs w:val="32"/>
        </w:rPr>
      </w:pPr>
    </w:p>
    <w:p w14:paraId="6F09635B">
      <w:pPr>
        <w:spacing w:line="360" w:lineRule="auto"/>
        <w:rPr>
          <w:rFonts w:hint="eastAsia" w:ascii="宋体" w:hAnsi="宋体" w:cs="宋体"/>
          <w:sz w:val="28"/>
          <w:szCs w:val="28"/>
        </w:rPr>
      </w:pPr>
    </w:p>
    <w:sectPr>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4326323-18FA-4322-89C5-0096D9995D6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embedRegular r:id="rId2" w:fontKey="{F646C7BF-F6BB-4098-AD46-B895F3275F33}"/>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auto"/>
    <w:pitch w:val="default"/>
    <w:sig w:usb0="A00002BF" w:usb1="38CF7CFA" w:usb2="00082016" w:usb3="00000000" w:csb0="00040001" w:csb1="00000000"/>
    <w:embedRegular r:id="rId3" w:fontKey="{4F5F398E-D970-4E35-8A01-BC1D74522042}"/>
  </w:font>
  <w:font w:name="方正黑体_GBK">
    <w:panose1 w:val="02010600010101010101"/>
    <w:charset w:val="86"/>
    <w:family w:val="script"/>
    <w:pitch w:val="default"/>
    <w:sig w:usb0="00000001" w:usb1="080E0000" w:usb2="00000000" w:usb3="00000000" w:csb0="00040000" w:csb1="00000000"/>
    <w:embedRegular r:id="rId4" w:fontKey="{D55DBE65-C3E0-4959-9ECA-6C9DC89C3C75}"/>
  </w:font>
  <w:font w:name="方正仿宋_GBK">
    <w:panose1 w:val="02000000000000000000"/>
    <w:charset w:val="86"/>
    <w:family w:val="auto"/>
    <w:pitch w:val="default"/>
    <w:sig w:usb0="A00002BF" w:usb1="38CF7CFA" w:usb2="00082016" w:usb3="00000000" w:csb0="00040001" w:csb1="00000000"/>
    <w:embedRegular r:id="rId5" w:fontKey="{DFAE2BEA-45B0-4634-A1FB-C753430E862E}"/>
  </w:font>
  <w:font w:name="方正楷体_GBK">
    <w:panose1 w:val="02000000000000000000"/>
    <w:charset w:val="86"/>
    <w:family w:val="auto"/>
    <w:pitch w:val="default"/>
    <w:sig w:usb0="800002BF" w:usb1="38CF7CFA" w:usb2="00000016" w:usb3="00000000" w:csb0="00040000" w:csb1="00000000"/>
    <w:embedRegular r:id="rId6" w:fontKey="{8F0746BC-59CC-4952-9ED4-CD80A108A29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319"/>
    <w:rsid w:val="0001130B"/>
    <w:rsid w:val="000155A9"/>
    <w:rsid w:val="0002244E"/>
    <w:rsid w:val="00030067"/>
    <w:rsid w:val="00030FC7"/>
    <w:rsid w:val="0003657C"/>
    <w:rsid w:val="00041807"/>
    <w:rsid w:val="0004210C"/>
    <w:rsid w:val="00046ACB"/>
    <w:rsid w:val="00054A03"/>
    <w:rsid w:val="000607FF"/>
    <w:rsid w:val="0006196C"/>
    <w:rsid w:val="00062664"/>
    <w:rsid w:val="00063F1E"/>
    <w:rsid w:val="0006746D"/>
    <w:rsid w:val="00067F88"/>
    <w:rsid w:val="00072AAC"/>
    <w:rsid w:val="00076376"/>
    <w:rsid w:val="00086D33"/>
    <w:rsid w:val="00087E5C"/>
    <w:rsid w:val="00094AB9"/>
    <w:rsid w:val="000A01F1"/>
    <w:rsid w:val="000A22D6"/>
    <w:rsid w:val="000B45BF"/>
    <w:rsid w:val="000C46FA"/>
    <w:rsid w:val="000E28CD"/>
    <w:rsid w:val="000F0C7B"/>
    <w:rsid w:val="00125871"/>
    <w:rsid w:val="00127D80"/>
    <w:rsid w:val="00127E6B"/>
    <w:rsid w:val="00131787"/>
    <w:rsid w:val="001331D2"/>
    <w:rsid w:val="00134B9F"/>
    <w:rsid w:val="001361E2"/>
    <w:rsid w:val="00136EFA"/>
    <w:rsid w:val="00145921"/>
    <w:rsid w:val="00152358"/>
    <w:rsid w:val="0017102F"/>
    <w:rsid w:val="00172F78"/>
    <w:rsid w:val="00176623"/>
    <w:rsid w:val="0018019D"/>
    <w:rsid w:val="00184632"/>
    <w:rsid w:val="0019108D"/>
    <w:rsid w:val="00191944"/>
    <w:rsid w:val="00192377"/>
    <w:rsid w:val="001B5C4F"/>
    <w:rsid w:val="001D4265"/>
    <w:rsid w:val="001D573A"/>
    <w:rsid w:val="001E0CBE"/>
    <w:rsid w:val="001E2538"/>
    <w:rsid w:val="001E2957"/>
    <w:rsid w:val="00202098"/>
    <w:rsid w:val="00210E02"/>
    <w:rsid w:val="00211183"/>
    <w:rsid w:val="0021479A"/>
    <w:rsid w:val="00214889"/>
    <w:rsid w:val="002216BE"/>
    <w:rsid w:val="002316AD"/>
    <w:rsid w:val="002328AB"/>
    <w:rsid w:val="002426A3"/>
    <w:rsid w:val="0025037B"/>
    <w:rsid w:val="00252341"/>
    <w:rsid w:val="0026236F"/>
    <w:rsid w:val="0026368E"/>
    <w:rsid w:val="00270494"/>
    <w:rsid w:val="00282FA6"/>
    <w:rsid w:val="0028328A"/>
    <w:rsid w:val="002B6690"/>
    <w:rsid w:val="002C194B"/>
    <w:rsid w:val="002C1983"/>
    <w:rsid w:val="002D171E"/>
    <w:rsid w:val="002D1E2B"/>
    <w:rsid w:val="002D4B27"/>
    <w:rsid w:val="002F3CB4"/>
    <w:rsid w:val="0031024B"/>
    <w:rsid w:val="0031094B"/>
    <w:rsid w:val="00323B78"/>
    <w:rsid w:val="00330047"/>
    <w:rsid w:val="00335B99"/>
    <w:rsid w:val="00336983"/>
    <w:rsid w:val="00341E80"/>
    <w:rsid w:val="0035079C"/>
    <w:rsid w:val="003575C3"/>
    <w:rsid w:val="00357CF4"/>
    <w:rsid w:val="003656B5"/>
    <w:rsid w:val="00372859"/>
    <w:rsid w:val="00384FD0"/>
    <w:rsid w:val="00385AB7"/>
    <w:rsid w:val="00391F14"/>
    <w:rsid w:val="003936D8"/>
    <w:rsid w:val="00393CE1"/>
    <w:rsid w:val="003A2DF8"/>
    <w:rsid w:val="003A351C"/>
    <w:rsid w:val="003C1F18"/>
    <w:rsid w:val="003D28D3"/>
    <w:rsid w:val="003F3213"/>
    <w:rsid w:val="003F7F67"/>
    <w:rsid w:val="00402973"/>
    <w:rsid w:val="00434879"/>
    <w:rsid w:val="00436027"/>
    <w:rsid w:val="00446525"/>
    <w:rsid w:val="0045292F"/>
    <w:rsid w:val="00452A6F"/>
    <w:rsid w:val="004550E4"/>
    <w:rsid w:val="00455F9C"/>
    <w:rsid w:val="004574F0"/>
    <w:rsid w:val="00457CB9"/>
    <w:rsid w:val="00460692"/>
    <w:rsid w:val="004638DB"/>
    <w:rsid w:val="00466033"/>
    <w:rsid w:val="00467F2C"/>
    <w:rsid w:val="0047140C"/>
    <w:rsid w:val="00482674"/>
    <w:rsid w:val="00486BD9"/>
    <w:rsid w:val="00486F04"/>
    <w:rsid w:val="004907A3"/>
    <w:rsid w:val="004A3289"/>
    <w:rsid w:val="004C1FB2"/>
    <w:rsid w:val="004D2E64"/>
    <w:rsid w:val="0051111E"/>
    <w:rsid w:val="00521A71"/>
    <w:rsid w:val="00525B6D"/>
    <w:rsid w:val="00537C80"/>
    <w:rsid w:val="00546952"/>
    <w:rsid w:val="00552CE9"/>
    <w:rsid w:val="00553599"/>
    <w:rsid w:val="00557E0B"/>
    <w:rsid w:val="00567E85"/>
    <w:rsid w:val="005758F0"/>
    <w:rsid w:val="00580258"/>
    <w:rsid w:val="00581383"/>
    <w:rsid w:val="00592F1E"/>
    <w:rsid w:val="005953F6"/>
    <w:rsid w:val="005A262A"/>
    <w:rsid w:val="005A3B63"/>
    <w:rsid w:val="005B4050"/>
    <w:rsid w:val="005C0BFD"/>
    <w:rsid w:val="005D6D13"/>
    <w:rsid w:val="005E06BA"/>
    <w:rsid w:val="005E3523"/>
    <w:rsid w:val="005E4D8D"/>
    <w:rsid w:val="00602BFE"/>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C3358"/>
    <w:rsid w:val="006D4694"/>
    <w:rsid w:val="006D60CF"/>
    <w:rsid w:val="006E1245"/>
    <w:rsid w:val="006F6A29"/>
    <w:rsid w:val="006F7E16"/>
    <w:rsid w:val="0070590B"/>
    <w:rsid w:val="0070673A"/>
    <w:rsid w:val="0071192F"/>
    <w:rsid w:val="00713D13"/>
    <w:rsid w:val="00714032"/>
    <w:rsid w:val="007225D8"/>
    <w:rsid w:val="00723BDE"/>
    <w:rsid w:val="00737577"/>
    <w:rsid w:val="00747916"/>
    <w:rsid w:val="007812FC"/>
    <w:rsid w:val="00781A96"/>
    <w:rsid w:val="007916D5"/>
    <w:rsid w:val="00791FF2"/>
    <w:rsid w:val="007A2F04"/>
    <w:rsid w:val="007A3D31"/>
    <w:rsid w:val="007C2D64"/>
    <w:rsid w:val="007D0F61"/>
    <w:rsid w:val="007D59FD"/>
    <w:rsid w:val="007D6664"/>
    <w:rsid w:val="007E30C2"/>
    <w:rsid w:val="007F544A"/>
    <w:rsid w:val="008175E3"/>
    <w:rsid w:val="00825D64"/>
    <w:rsid w:val="00827D95"/>
    <w:rsid w:val="00836118"/>
    <w:rsid w:val="00837AFB"/>
    <w:rsid w:val="00845D00"/>
    <w:rsid w:val="0085178A"/>
    <w:rsid w:val="00873CEB"/>
    <w:rsid w:val="008767BE"/>
    <w:rsid w:val="008830A2"/>
    <w:rsid w:val="00885003"/>
    <w:rsid w:val="00887355"/>
    <w:rsid w:val="00894EC2"/>
    <w:rsid w:val="0089545E"/>
    <w:rsid w:val="008976ED"/>
    <w:rsid w:val="008C62D3"/>
    <w:rsid w:val="008C6CFE"/>
    <w:rsid w:val="008D0104"/>
    <w:rsid w:val="008D6F4C"/>
    <w:rsid w:val="008E0704"/>
    <w:rsid w:val="008E788F"/>
    <w:rsid w:val="0090547C"/>
    <w:rsid w:val="00906501"/>
    <w:rsid w:val="00911B05"/>
    <w:rsid w:val="00914A0E"/>
    <w:rsid w:val="009309F7"/>
    <w:rsid w:val="009327B9"/>
    <w:rsid w:val="00941390"/>
    <w:rsid w:val="0094619E"/>
    <w:rsid w:val="00946DA2"/>
    <w:rsid w:val="00950A37"/>
    <w:rsid w:val="00956C7E"/>
    <w:rsid w:val="0095704C"/>
    <w:rsid w:val="00960C2C"/>
    <w:rsid w:val="00961FB4"/>
    <w:rsid w:val="009622EA"/>
    <w:rsid w:val="009700DE"/>
    <w:rsid w:val="00971D5E"/>
    <w:rsid w:val="009803A1"/>
    <w:rsid w:val="00981501"/>
    <w:rsid w:val="0098489E"/>
    <w:rsid w:val="00986116"/>
    <w:rsid w:val="009945AB"/>
    <w:rsid w:val="00996C6C"/>
    <w:rsid w:val="009A4B42"/>
    <w:rsid w:val="009A51EE"/>
    <w:rsid w:val="009B281B"/>
    <w:rsid w:val="009B30EB"/>
    <w:rsid w:val="009D04F0"/>
    <w:rsid w:val="009D19D7"/>
    <w:rsid w:val="009D1F66"/>
    <w:rsid w:val="009D4C29"/>
    <w:rsid w:val="009E13EF"/>
    <w:rsid w:val="009F570E"/>
    <w:rsid w:val="00A00C69"/>
    <w:rsid w:val="00A23E55"/>
    <w:rsid w:val="00A40F2C"/>
    <w:rsid w:val="00A5051A"/>
    <w:rsid w:val="00A67BEA"/>
    <w:rsid w:val="00A81E4D"/>
    <w:rsid w:val="00A85146"/>
    <w:rsid w:val="00A91BE3"/>
    <w:rsid w:val="00AA61A4"/>
    <w:rsid w:val="00AB269C"/>
    <w:rsid w:val="00AB2A2A"/>
    <w:rsid w:val="00AB4E2D"/>
    <w:rsid w:val="00AB75DF"/>
    <w:rsid w:val="00AD05AC"/>
    <w:rsid w:val="00AD76F5"/>
    <w:rsid w:val="00AE1EFC"/>
    <w:rsid w:val="00AE32F2"/>
    <w:rsid w:val="00AF64D5"/>
    <w:rsid w:val="00B061D5"/>
    <w:rsid w:val="00B11192"/>
    <w:rsid w:val="00B143B9"/>
    <w:rsid w:val="00B148B2"/>
    <w:rsid w:val="00B172DA"/>
    <w:rsid w:val="00B20E1F"/>
    <w:rsid w:val="00B23319"/>
    <w:rsid w:val="00B35AFF"/>
    <w:rsid w:val="00B41EE8"/>
    <w:rsid w:val="00B43E44"/>
    <w:rsid w:val="00B6292E"/>
    <w:rsid w:val="00B63EDE"/>
    <w:rsid w:val="00B75878"/>
    <w:rsid w:val="00B8300A"/>
    <w:rsid w:val="00B970C1"/>
    <w:rsid w:val="00B978B8"/>
    <w:rsid w:val="00BF6E4B"/>
    <w:rsid w:val="00C10D63"/>
    <w:rsid w:val="00C152A4"/>
    <w:rsid w:val="00C1561A"/>
    <w:rsid w:val="00C2380B"/>
    <w:rsid w:val="00C26DF9"/>
    <w:rsid w:val="00C32493"/>
    <w:rsid w:val="00C5064B"/>
    <w:rsid w:val="00C56445"/>
    <w:rsid w:val="00C606CA"/>
    <w:rsid w:val="00C630B8"/>
    <w:rsid w:val="00C65F3B"/>
    <w:rsid w:val="00C6632F"/>
    <w:rsid w:val="00C66E77"/>
    <w:rsid w:val="00C729E0"/>
    <w:rsid w:val="00C81BDA"/>
    <w:rsid w:val="00C86069"/>
    <w:rsid w:val="00C87AA0"/>
    <w:rsid w:val="00C9481E"/>
    <w:rsid w:val="00CA2460"/>
    <w:rsid w:val="00CA5F16"/>
    <w:rsid w:val="00CA6AA0"/>
    <w:rsid w:val="00CB1737"/>
    <w:rsid w:val="00CB6C74"/>
    <w:rsid w:val="00CC4233"/>
    <w:rsid w:val="00CC4784"/>
    <w:rsid w:val="00CC6522"/>
    <w:rsid w:val="00CE391D"/>
    <w:rsid w:val="00CE6DB4"/>
    <w:rsid w:val="00D01FC2"/>
    <w:rsid w:val="00D06BC8"/>
    <w:rsid w:val="00D10F37"/>
    <w:rsid w:val="00D34E28"/>
    <w:rsid w:val="00D351FB"/>
    <w:rsid w:val="00D35ED2"/>
    <w:rsid w:val="00D367BD"/>
    <w:rsid w:val="00D43255"/>
    <w:rsid w:val="00D5292A"/>
    <w:rsid w:val="00D536EB"/>
    <w:rsid w:val="00D624F0"/>
    <w:rsid w:val="00D71785"/>
    <w:rsid w:val="00D74CD7"/>
    <w:rsid w:val="00DA6AE4"/>
    <w:rsid w:val="00DE5960"/>
    <w:rsid w:val="00E135E2"/>
    <w:rsid w:val="00E20638"/>
    <w:rsid w:val="00E20692"/>
    <w:rsid w:val="00E23FB4"/>
    <w:rsid w:val="00E272CE"/>
    <w:rsid w:val="00E30472"/>
    <w:rsid w:val="00E518C3"/>
    <w:rsid w:val="00E53A97"/>
    <w:rsid w:val="00E54496"/>
    <w:rsid w:val="00E64481"/>
    <w:rsid w:val="00E74E6E"/>
    <w:rsid w:val="00E8032B"/>
    <w:rsid w:val="00E83123"/>
    <w:rsid w:val="00E93A64"/>
    <w:rsid w:val="00E96E83"/>
    <w:rsid w:val="00EA13D3"/>
    <w:rsid w:val="00EA6E36"/>
    <w:rsid w:val="00EB00C7"/>
    <w:rsid w:val="00EE2AA1"/>
    <w:rsid w:val="00EF5F33"/>
    <w:rsid w:val="00F10DCD"/>
    <w:rsid w:val="00F14F1F"/>
    <w:rsid w:val="00F16DF8"/>
    <w:rsid w:val="00F20A60"/>
    <w:rsid w:val="00F21761"/>
    <w:rsid w:val="00F24352"/>
    <w:rsid w:val="00F269EA"/>
    <w:rsid w:val="00F402FE"/>
    <w:rsid w:val="00F71EF0"/>
    <w:rsid w:val="00F728B9"/>
    <w:rsid w:val="00F964CB"/>
    <w:rsid w:val="00FA1644"/>
    <w:rsid w:val="00FB4044"/>
    <w:rsid w:val="00FB491F"/>
    <w:rsid w:val="00FB4A92"/>
    <w:rsid w:val="00FB76A5"/>
    <w:rsid w:val="00FC55FE"/>
    <w:rsid w:val="00FC5A64"/>
    <w:rsid w:val="00FE12A1"/>
    <w:rsid w:val="00FF0ECF"/>
    <w:rsid w:val="00FF2EF5"/>
    <w:rsid w:val="00FF6D5D"/>
    <w:rsid w:val="016533AB"/>
    <w:rsid w:val="017066A4"/>
    <w:rsid w:val="01AF66F5"/>
    <w:rsid w:val="01D733CC"/>
    <w:rsid w:val="01ED3C51"/>
    <w:rsid w:val="020A50C9"/>
    <w:rsid w:val="02693A80"/>
    <w:rsid w:val="02B37899"/>
    <w:rsid w:val="02BB77E4"/>
    <w:rsid w:val="03776577"/>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7E733B"/>
    <w:rsid w:val="0B81389B"/>
    <w:rsid w:val="0BB258C6"/>
    <w:rsid w:val="0C300AF9"/>
    <w:rsid w:val="0D094F8F"/>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C51EE2"/>
    <w:rsid w:val="1DF42E4D"/>
    <w:rsid w:val="1E993A75"/>
    <w:rsid w:val="1EA76EE9"/>
    <w:rsid w:val="1EF062B0"/>
    <w:rsid w:val="1F62074F"/>
    <w:rsid w:val="1F9066AC"/>
    <w:rsid w:val="1FD1349E"/>
    <w:rsid w:val="20717A70"/>
    <w:rsid w:val="20D32E77"/>
    <w:rsid w:val="21014B41"/>
    <w:rsid w:val="2128584D"/>
    <w:rsid w:val="216270A9"/>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796611"/>
    <w:rsid w:val="2ADC0CAD"/>
    <w:rsid w:val="2B47788F"/>
    <w:rsid w:val="2BCB1A43"/>
    <w:rsid w:val="2CE10710"/>
    <w:rsid w:val="2CE85F5A"/>
    <w:rsid w:val="2D7E3D18"/>
    <w:rsid w:val="2DDD3326"/>
    <w:rsid w:val="2F45627A"/>
    <w:rsid w:val="2F6949FE"/>
    <w:rsid w:val="2FB87DE1"/>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EEB7EDE"/>
    <w:rsid w:val="5F092E3E"/>
    <w:rsid w:val="60582906"/>
    <w:rsid w:val="607D3E4C"/>
    <w:rsid w:val="608D41D9"/>
    <w:rsid w:val="60C33095"/>
    <w:rsid w:val="6185683E"/>
    <w:rsid w:val="62563D7B"/>
    <w:rsid w:val="63021BA8"/>
    <w:rsid w:val="63074E55"/>
    <w:rsid w:val="630A243D"/>
    <w:rsid w:val="640E4E21"/>
    <w:rsid w:val="642D5E74"/>
    <w:rsid w:val="647C2EF6"/>
    <w:rsid w:val="648A7D50"/>
    <w:rsid w:val="648F40E9"/>
    <w:rsid w:val="64BB14E6"/>
    <w:rsid w:val="64C47C99"/>
    <w:rsid w:val="64D97F88"/>
    <w:rsid w:val="64E241D8"/>
    <w:rsid w:val="65682C45"/>
    <w:rsid w:val="65846AED"/>
    <w:rsid w:val="65E372CD"/>
    <w:rsid w:val="66277C26"/>
    <w:rsid w:val="66294AE5"/>
    <w:rsid w:val="68906B4E"/>
    <w:rsid w:val="68A9143F"/>
    <w:rsid w:val="698E36B9"/>
    <w:rsid w:val="69B707BE"/>
    <w:rsid w:val="69C51212"/>
    <w:rsid w:val="6A08309F"/>
    <w:rsid w:val="6A6B6D42"/>
    <w:rsid w:val="6AB447A0"/>
    <w:rsid w:val="6AC6674A"/>
    <w:rsid w:val="6B1D2762"/>
    <w:rsid w:val="6BF41341"/>
    <w:rsid w:val="6CC51FBB"/>
    <w:rsid w:val="6CF4451F"/>
    <w:rsid w:val="6D350EDC"/>
    <w:rsid w:val="6D7672B6"/>
    <w:rsid w:val="6DA325F9"/>
    <w:rsid w:val="6DCD6F07"/>
    <w:rsid w:val="6E2B0937"/>
    <w:rsid w:val="6F075254"/>
    <w:rsid w:val="6F554AEA"/>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6DA25AC"/>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3"/>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uiPriority w:val="0"/>
  </w:style>
  <w:style w:type="character" w:styleId="11">
    <w:name w:val="FollowedHyperlink"/>
    <w:basedOn w:val="9"/>
    <w:qFormat/>
    <w:uiPriority w:val="0"/>
    <w:rPr>
      <w:color w:val="00A7D8"/>
      <w:u w:val="none"/>
    </w:rPr>
  </w:style>
  <w:style w:type="character" w:styleId="12">
    <w:name w:val="Hyperlink"/>
    <w:basedOn w:val="9"/>
    <w:qFormat/>
    <w:uiPriority w:val="0"/>
    <w:rPr>
      <w:color w:val="444444"/>
      <w:u w:val="none"/>
    </w:rPr>
  </w:style>
  <w:style w:type="character" w:customStyle="1" w:styleId="13">
    <w:name w:val="批注框文本 Char"/>
    <w:link w:val="3"/>
    <w:uiPriority w:val="0"/>
    <w:rPr>
      <w:kern w:val="2"/>
      <w:sz w:val="18"/>
      <w:szCs w:val="18"/>
    </w:rPr>
  </w:style>
  <w:style w:type="paragraph" w:customStyle="1" w:styleId="1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5">
    <w:name w:val="Table Paragraph"/>
    <w:basedOn w:val="1"/>
    <w:qFormat/>
    <w:uiPriority w:val="1"/>
    <w:rPr>
      <w:rFonts w:ascii="宋体" w:hAnsi="宋体" w:eastAsia="宋体" w:cs="宋体"/>
      <w:lang w:val="zh-CN" w:eastAsia="zh-CN" w:bidi="zh-CN"/>
    </w:rPr>
  </w:style>
  <w:style w:type="paragraph" w:customStyle="1" w:styleId="16">
    <w:name w:val="Char"/>
    <w:basedOn w:val="1"/>
    <w:uiPriority w:val="0"/>
    <w:pPr>
      <w:widowControl/>
      <w:spacing w:after="160" w:line="240" w:lineRule="exact"/>
      <w:jc w:val="left"/>
    </w:pPr>
    <w:rPr>
      <w:rFonts w:ascii="Verdana" w:hAnsi="Verdana"/>
      <w:kern w:val="0"/>
      <w:sz w:val="18"/>
      <w:szCs w:val="20"/>
      <w:lang w:eastAsia="en-US"/>
    </w:rPr>
  </w:style>
  <w:style w:type="paragraph" w:customStyle="1" w:styleId="17">
    <w:name w:val="正文+宋体"/>
    <w:basedOn w:val="1"/>
    <w:qFormat/>
    <w:uiPriority w:val="0"/>
  </w:style>
  <w:style w:type="paragraph" w:customStyle="1" w:styleId="18">
    <w:name w:val="段"/>
    <w:qFormat/>
    <w:uiPriority w:val="0"/>
    <w:pPr>
      <w:tabs>
        <w:tab w:val="center" w:pos="4201"/>
        <w:tab w:val="right" w:leader="dot" w:pos="9298"/>
      </w:tabs>
      <w:autoSpaceDE w:val="0"/>
      <w:autoSpaceDN w:val="0"/>
      <w:ind w:firstLine="420" w:firstLineChars="200"/>
      <w:jc w:val="both"/>
    </w:pPr>
    <w:rPr>
      <w:rFonts w:ascii="宋体" w:hAnsi="Calibri" w:eastAsia="Times New Roman" w:cs="Times New Roman"/>
      <w:sz w:val="21"/>
      <w:szCs w:val="22"/>
      <w:lang w:val="en-US" w:eastAsia="zh-CN" w:bidi="ar-SA"/>
    </w:rPr>
  </w:style>
  <w:style w:type="character" w:customStyle="1" w:styleId="19">
    <w:name w:val="正文 + (西文) Times New Roman Char"/>
    <w:link w:val="20"/>
    <w:qFormat/>
    <w:uiPriority w:val="99"/>
    <w:rPr>
      <w:rFonts w:ascii="仿宋_GB2312" w:hAnsi="宋体" w:eastAsia="仿宋_GB2312" w:cs="仿宋_GB2312"/>
      <w:color w:val="000000"/>
      <w:kern w:val="2"/>
      <w:sz w:val="28"/>
      <w:szCs w:val="28"/>
    </w:rPr>
  </w:style>
  <w:style w:type="paragraph" w:customStyle="1" w:styleId="20">
    <w:name w:val="正文 + (西文) Times New Roman"/>
    <w:basedOn w:val="6"/>
    <w:link w:val="19"/>
    <w:uiPriority w:val="99"/>
    <w:pPr>
      <w:widowControl/>
      <w:spacing w:before="0" w:beforeAutospacing="0" w:after="0" w:afterAutospacing="0" w:line="360" w:lineRule="auto"/>
      <w:ind w:firstLine="560" w:firstLineChars="200"/>
    </w:pPr>
    <w:rPr>
      <w:rFonts w:ascii="仿宋_GB2312" w:hAnsi="宋体" w:eastAsia="仿宋_GB2312"/>
      <w:color w:val="000000"/>
      <w:kern w:val="2"/>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4</Pages>
  <Words>1124</Words>
  <Characters>1498</Characters>
  <Lines>12</Lines>
  <Paragraphs>3</Paragraphs>
  <TotalTime>1</TotalTime>
  <ScaleCrop>false</ScaleCrop>
  <LinksUpToDate>false</LinksUpToDate>
  <CharactersWithSpaces>1533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2023-07-17T03:39:00Z</dcterms:created>
  <dc:creator>cj_wong</dc:creator>
  <cp:lastModifiedBy>薛彦军</cp:lastModifiedBy>
  <cp:lastPrinted>2020-01-09T02:23:00Z</cp:lastPrinted>
  <dcterms:modified xsi:type="dcterms:W3CDTF">2025-08-22T09:30:15Z</dcterms:modified>
  <dc:title>XXXX年第X批风险监测实施方案</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6B64CA821D4A449A9AD1287ABB88DAD1_13</vt:lpwstr>
  </property>
  <property fmtid="{D5CDD505-2E9C-101B-9397-08002B2CF9AE}" pid="4" name="KSOTemplateDocerSaveRecord">
    <vt:lpwstr>eyJoZGlkIjoiYTFkYTBlZTdjZjRhNmM2ZTk2ZjlkNjQ5NmVjODEzMDAiLCJ1c2VySWQiOiIyMzA0NTk3MzEifQ==</vt:lpwstr>
  </property>
</Properties>
</file>