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DBAC9">
      <w:pPr>
        <w:snapToGrid w:val="0"/>
        <w:spacing w:line="580" w:lineRule="exact"/>
        <w:jc w:val="center"/>
        <w:rPr>
          <w:rFonts w:hint="eastAsia" w:ascii="方正公文小标宋" w:hAnsi="方正公文小标宋" w:eastAsia="方正公文小标宋" w:cs="方正公文小标宋"/>
          <w:color w:val="000000"/>
          <w:sz w:val="36"/>
          <w:szCs w:val="36"/>
        </w:rPr>
      </w:pPr>
      <w:r>
        <w:rPr>
          <w:rFonts w:hint="eastAsia" w:ascii="方正公文小标宋" w:hAnsi="方正公文小标宋" w:eastAsia="方正公文小标宋" w:cs="方正公文小标宋"/>
          <w:color w:val="000000"/>
          <w:sz w:val="44"/>
          <w:szCs w:val="44"/>
        </w:rPr>
        <w:t>南京市</w:t>
      </w:r>
      <w:r>
        <w:rPr>
          <w:rFonts w:hint="eastAsia" w:ascii="方正公文小标宋" w:hAnsi="方正公文小标宋" w:eastAsia="方正公文小标宋" w:cs="方正公文小标宋"/>
          <w:color w:val="000000"/>
          <w:sz w:val="44"/>
          <w:szCs w:val="44"/>
          <w:lang w:val="en-US" w:eastAsia="zh-CN"/>
        </w:rPr>
        <w:t>老人鞋</w:t>
      </w:r>
      <w:r>
        <w:rPr>
          <w:rFonts w:hint="eastAsia" w:ascii="方正公文小标宋" w:hAnsi="方正公文小标宋" w:eastAsia="方正公文小标宋" w:cs="方正公文小标宋"/>
          <w:color w:val="000000"/>
          <w:sz w:val="44"/>
          <w:szCs w:val="44"/>
        </w:rPr>
        <w:t>产品质量监督抽查实施细则</w:t>
      </w:r>
      <w:r>
        <w:rPr>
          <w:rFonts w:hint="eastAsia" w:ascii="方正公文小标宋" w:hAnsi="方正公文小标宋" w:eastAsia="方正公文小标宋" w:cs="方正公文小标宋"/>
          <w:color w:val="000000"/>
          <w:sz w:val="36"/>
          <w:szCs w:val="36"/>
          <w:lang w:eastAsia="zh-CN"/>
        </w:rPr>
        <w:t>（2025年版）</w:t>
      </w:r>
    </w:p>
    <w:p w14:paraId="5F3AAA48">
      <w:pPr>
        <w:spacing w:line="580" w:lineRule="exact"/>
        <w:jc w:val="center"/>
        <w:rPr>
          <w:rFonts w:ascii="宋体" w:hAnsi="宋体" w:cs="宋体"/>
          <w:b/>
          <w:sz w:val="36"/>
          <w:szCs w:val="36"/>
        </w:rPr>
      </w:pPr>
    </w:p>
    <w:p w14:paraId="124CB44C">
      <w:pPr>
        <w:spacing w:line="600" w:lineRule="exact"/>
        <w:ind w:firstLine="640" w:firstLineChars="200"/>
        <w:rPr>
          <w:rFonts w:eastAsia="黑体"/>
          <w:bCs/>
          <w:sz w:val="32"/>
          <w:szCs w:val="32"/>
        </w:rPr>
      </w:pPr>
      <w:r>
        <w:rPr>
          <w:rFonts w:hint="eastAsia" w:eastAsia="黑体"/>
          <w:bCs/>
          <w:sz w:val="32"/>
          <w:szCs w:val="32"/>
        </w:rPr>
        <w:t>1.范围</w:t>
      </w:r>
    </w:p>
    <w:p w14:paraId="4C42F05E">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本细则适用于南京市市场监督管理局组织的</w:t>
      </w:r>
      <w:r>
        <w:rPr>
          <w:rFonts w:hint="eastAsia" w:ascii="方正仿宋_GBK" w:hAnsi="方正仿宋_GBK" w:eastAsia="方正仿宋_GBK" w:cs="方正仿宋_GBK"/>
          <w:sz w:val="32"/>
          <w:szCs w:val="32"/>
          <w:lang w:val="en-US" w:eastAsia="zh-CN"/>
        </w:rPr>
        <w:t>老人鞋</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087B666A">
      <w:pPr>
        <w:spacing w:line="600" w:lineRule="exact"/>
        <w:ind w:firstLine="640" w:firstLineChars="200"/>
        <w:rPr>
          <w:rFonts w:eastAsia="黑体"/>
          <w:bCs/>
          <w:sz w:val="32"/>
          <w:szCs w:val="32"/>
        </w:rPr>
      </w:pPr>
      <w:r>
        <w:rPr>
          <w:rFonts w:hint="eastAsia" w:eastAsia="黑体"/>
          <w:bCs/>
          <w:sz w:val="32"/>
          <w:szCs w:val="32"/>
        </w:rPr>
        <w:t>2.抽样方法</w:t>
      </w:r>
    </w:p>
    <w:p w14:paraId="0A4B542A">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w:t>
      </w:r>
      <w:r>
        <w:rPr>
          <w:rFonts w:hint="eastAsia" w:eastAsia="方正仿宋_GBK"/>
          <w:b/>
          <w:bCs/>
          <w:kern w:val="0"/>
          <w:sz w:val="32"/>
          <w:szCs w:val="32"/>
          <w:shd w:val="clear" w:color="auto" w:fill="FFFFFF"/>
          <w:lang w:eastAsia="zh-CN" w:bidi="ar"/>
        </w:rPr>
        <w:t>生产企业、</w:t>
      </w:r>
      <w:bookmarkStart w:id="0" w:name="_GoBack"/>
      <w:bookmarkEnd w:id="0"/>
      <w:r>
        <w:rPr>
          <w:rFonts w:hint="eastAsia" w:eastAsia="方正仿宋_GBK"/>
          <w:b/>
          <w:bCs/>
          <w:kern w:val="0"/>
          <w:sz w:val="32"/>
          <w:szCs w:val="32"/>
          <w:shd w:val="clear" w:color="auto" w:fill="FFFFFF"/>
          <w:lang w:bidi="ar"/>
        </w:rPr>
        <w:t>实体店抽样</w:t>
      </w:r>
    </w:p>
    <w:p w14:paraId="6BFBCD34">
      <w:pPr>
        <w:spacing w:line="580" w:lineRule="exact"/>
        <w:ind w:firstLine="640" w:firstLineChars="200"/>
        <w:rPr>
          <w:rFonts w:hint="eastAsia"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lang w:bidi="ar"/>
        </w:rPr>
        <w:t>抽样过程均需拍照留证。一经抽样，立即封样，任何人不得调换。</w:t>
      </w:r>
    </w:p>
    <w:p w14:paraId="4CED8B2C">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160DFC61">
      <w:pPr>
        <w:spacing w:line="580" w:lineRule="exact"/>
        <w:ind w:firstLine="640" w:firstLineChars="200"/>
        <w:rPr>
          <w:rFonts w:eastAsia="方正仿宋_GBK"/>
          <w:color w:val="auto"/>
          <w:sz w:val="32"/>
          <w:szCs w:val="32"/>
          <w:highlight w:val="none"/>
        </w:rPr>
      </w:pPr>
      <w:r>
        <w:rPr>
          <w:rFonts w:eastAsia="方正仿宋_GBK"/>
          <w:color w:val="auto"/>
          <w:sz w:val="32"/>
          <w:szCs w:val="32"/>
          <w:highlight w:val="none"/>
        </w:rPr>
        <w:t>抽样数量为</w:t>
      </w:r>
      <w:r>
        <w:rPr>
          <w:rFonts w:hint="eastAsia" w:eastAsia="方正仿宋_GBK"/>
          <w:color w:val="auto"/>
          <w:sz w:val="32"/>
          <w:szCs w:val="32"/>
          <w:highlight w:val="none"/>
          <w:lang w:val="en-US" w:eastAsia="zh-CN"/>
        </w:rPr>
        <w:t>3双</w:t>
      </w:r>
      <w:r>
        <w:rPr>
          <w:rFonts w:hint="eastAsia" w:eastAsia="方正仿宋_GBK"/>
          <w:color w:val="auto"/>
          <w:sz w:val="32"/>
          <w:szCs w:val="32"/>
          <w:highlight w:val="none"/>
        </w:rPr>
        <w:t>。</w:t>
      </w:r>
    </w:p>
    <w:p w14:paraId="2A449E9E">
      <w:pPr>
        <w:spacing w:line="600" w:lineRule="exact"/>
        <w:ind w:firstLine="640" w:firstLineChars="200"/>
      </w:pPr>
      <w:r>
        <w:rPr>
          <w:rFonts w:hint="eastAsia" w:eastAsia="黑体"/>
          <w:bCs/>
          <w:sz w:val="32"/>
          <w:szCs w:val="32"/>
        </w:rPr>
        <w:t>3.检验依据</w:t>
      </w:r>
    </w:p>
    <w:p w14:paraId="27C31AC7">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ascii="Times New Roman" w:hAnsi="Times New Roman" w:eastAsia="方正仿宋_GBK" w:cs="Times New Roman"/>
          <w:color w:val="000000"/>
          <w:sz w:val="28"/>
          <w:szCs w:val="28"/>
          <w:highlight w:val="none"/>
          <w:lang w:val="en-US" w:eastAsia="zh-CN"/>
        </w:rPr>
        <w:t>1</w:t>
      </w:r>
      <w:r>
        <w:rPr>
          <w:rFonts w:hint="eastAsia" w:ascii="Times New Roman" w:hAnsi="Times New Roman" w:eastAsia="方正仿宋_GBK" w:cs="Times New Roman"/>
          <w:color w:val="000000"/>
          <w:sz w:val="28"/>
          <w:szCs w:val="28"/>
          <w:highlight w:val="none"/>
        </w:rPr>
        <w:t xml:space="preserve"> </w:t>
      </w:r>
      <w:r>
        <w:rPr>
          <w:rFonts w:hint="eastAsia" w:eastAsia="方正仿宋_GBK" w:cs="Times New Roman"/>
          <w:color w:val="000000"/>
          <w:sz w:val="28"/>
          <w:szCs w:val="28"/>
          <w:highlight w:val="none"/>
          <w:lang w:val="en-US" w:eastAsia="zh-CN"/>
        </w:rPr>
        <w:t>老人鞋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47C4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37" w:type="pct"/>
            <w:noWrap w:val="0"/>
            <w:vAlign w:val="center"/>
          </w:tcPr>
          <w:p w14:paraId="685FE3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6D066B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266FC4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2B43D1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202B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DC035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153581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有效跟高</w:t>
            </w:r>
          </w:p>
        </w:tc>
        <w:tc>
          <w:tcPr>
            <w:tcW w:w="1199" w:type="pct"/>
            <w:shd w:val="clear" w:color="auto" w:fill="auto"/>
            <w:noWrap w:val="0"/>
            <w:vAlign w:val="center"/>
          </w:tcPr>
          <w:p w14:paraId="38DA6E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5ADE4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2AB6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9F91C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23E096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剥离强度</w:t>
            </w:r>
          </w:p>
        </w:tc>
        <w:tc>
          <w:tcPr>
            <w:tcW w:w="1199" w:type="pct"/>
            <w:shd w:val="clear" w:color="auto" w:fill="auto"/>
            <w:noWrap w:val="0"/>
            <w:vAlign w:val="center"/>
          </w:tcPr>
          <w:p w14:paraId="3BB43F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00B68F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2538AA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507C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3D25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12053D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成鞋耐折性能</w:t>
            </w:r>
          </w:p>
        </w:tc>
        <w:tc>
          <w:tcPr>
            <w:tcW w:w="1199" w:type="pct"/>
            <w:shd w:val="clear" w:color="auto" w:fill="auto"/>
            <w:noWrap w:val="0"/>
            <w:vAlign w:val="center"/>
          </w:tcPr>
          <w:p w14:paraId="58404D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11619A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3903.1—2017</w:t>
            </w:r>
          </w:p>
          <w:p w14:paraId="19B9CD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7FDB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31E09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205698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611862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521DA8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3903.2—2017</w:t>
            </w:r>
          </w:p>
          <w:p w14:paraId="7D3074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4F9D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0004E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35F4EE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外底与外中底粘合强度</w:t>
            </w:r>
          </w:p>
        </w:tc>
        <w:tc>
          <w:tcPr>
            <w:tcW w:w="1199" w:type="pct"/>
            <w:shd w:val="clear" w:color="auto" w:fill="auto"/>
            <w:noWrap w:val="0"/>
            <w:vAlign w:val="center"/>
          </w:tcPr>
          <w:p w14:paraId="726BA5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4E632B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21396—2022</w:t>
            </w:r>
          </w:p>
          <w:p w14:paraId="662AE7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290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58B9A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1F529A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衬里和内垫耐摩擦色牢度</w:t>
            </w:r>
          </w:p>
        </w:tc>
        <w:tc>
          <w:tcPr>
            <w:tcW w:w="1199" w:type="pct"/>
            <w:shd w:val="clear" w:color="auto" w:fill="auto"/>
            <w:noWrap w:val="0"/>
            <w:vAlign w:val="center"/>
          </w:tcPr>
          <w:p w14:paraId="272F73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524F68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2882—2023方法A</w:t>
            </w:r>
          </w:p>
          <w:p w14:paraId="637E90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22E0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27B37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473EBF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微孔底压缩变形量</w:t>
            </w:r>
          </w:p>
        </w:tc>
        <w:tc>
          <w:tcPr>
            <w:tcW w:w="1199" w:type="pct"/>
            <w:shd w:val="clear" w:color="auto" w:fill="auto"/>
            <w:noWrap w:val="0"/>
            <w:vAlign w:val="center"/>
          </w:tcPr>
          <w:p w14:paraId="1383AB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4DD475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HG/T 2876—2009</w:t>
            </w:r>
          </w:p>
          <w:p w14:paraId="01BF84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7C7C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5A7CD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8</w:t>
            </w:r>
          </w:p>
        </w:tc>
        <w:tc>
          <w:tcPr>
            <w:tcW w:w="1993" w:type="pct"/>
            <w:shd w:val="clear" w:color="auto" w:fill="auto"/>
            <w:noWrap w:val="0"/>
            <w:vAlign w:val="center"/>
          </w:tcPr>
          <w:p w14:paraId="338CF0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防滑性能</w:t>
            </w:r>
          </w:p>
        </w:tc>
        <w:tc>
          <w:tcPr>
            <w:tcW w:w="1199" w:type="pct"/>
            <w:shd w:val="clear" w:color="auto" w:fill="auto"/>
            <w:noWrap w:val="0"/>
            <w:vAlign w:val="center"/>
          </w:tcPr>
          <w:p w14:paraId="56F8BB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648132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3903.6—2017</w:t>
            </w:r>
          </w:p>
          <w:p w14:paraId="2156C6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413B7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B6942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9</w:t>
            </w:r>
          </w:p>
        </w:tc>
        <w:tc>
          <w:tcPr>
            <w:tcW w:w="1993" w:type="pct"/>
            <w:shd w:val="clear" w:color="auto" w:fill="auto"/>
            <w:noWrap w:val="0"/>
            <w:vAlign w:val="center"/>
          </w:tcPr>
          <w:p w14:paraId="677F05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外底硬度</w:t>
            </w:r>
          </w:p>
        </w:tc>
        <w:tc>
          <w:tcPr>
            <w:tcW w:w="1199" w:type="pct"/>
            <w:shd w:val="clear" w:color="auto" w:fill="auto"/>
            <w:noWrap w:val="0"/>
            <w:vAlign w:val="center"/>
          </w:tcPr>
          <w:p w14:paraId="48555C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26B889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3903.4—2017</w:t>
            </w:r>
          </w:p>
          <w:p w14:paraId="6D190C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0856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9E00B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10</w:t>
            </w:r>
          </w:p>
        </w:tc>
        <w:tc>
          <w:tcPr>
            <w:tcW w:w="1993" w:type="pct"/>
            <w:shd w:val="clear" w:color="auto" w:fill="auto"/>
            <w:noWrap w:val="0"/>
            <w:vAlign w:val="center"/>
          </w:tcPr>
          <w:p w14:paraId="733839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整鞋减震性能</w:t>
            </w:r>
          </w:p>
        </w:tc>
        <w:tc>
          <w:tcPr>
            <w:tcW w:w="1199" w:type="pct"/>
            <w:shd w:val="clear" w:color="auto" w:fill="auto"/>
            <w:noWrap w:val="0"/>
            <w:vAlign w:val="center"/>
          </w:tcPr>
          <w:p w14:paraId="3531FC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75BD35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30907—2014</w:t>
            </w:r>
          </w:p>
          <w:p w14:paraId="0A2ED9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bl>
    <w:p w14:paraId="20B891AF">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2</w:t>
      </w:r>
      <w:r>
        <w:rPr>
          <w:rFonts w:hint="eastAsia" w:ascii="Times New Roman" w:hAnsi="Times New Roman" w:eastAsia="方正仿宋_GBK" w:cs="Times New Roman"/>
          <w:color w:val="000000"/>
          <w:sz w:val="28"/>
          <w:szCs w:val="28"/>
          <w:highlight w:val="none"/>
        </w:rPr>
        <w:t xml:space="preserve"> 老人鞋（旅游鞋）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4EC7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noWrap w:val="0"/>
            <w:vAlign w:val="center"/>
          </w:tcPr>
          <w:p w14:paraId="47004C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6119D3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3FB1D0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2BA5A8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5875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B0F0E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77DED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帮底剥离强度或</w:t>
            </w:r>
          </w:p>
          <w:p w14:paraId="7A6F60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底墙与帮面剥离强度</w:t>
            </w:r>
          </w:p>
        </w:tc>
        <w:tc>
          <w:tcPr>
            <w:tcW w:w="1199" w:type="pct"/>
            <w:shd w:val="clear" w:color="auto" w:fill="auto"/>
            <w:noWrap w:val="0"/>
            <w:vAlign w:val="center"/>
          </w:tcPr>
          <w:p w14:paraId="366605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227B6B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426A40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5AF2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BE7E2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4DE194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成鞋耐折性能</w:t>
            </w:r>
          </w:p>
        </w:tc>
        <w:tc>
          <w:tcPr>
            <w:tcW w:w="1199" w:type="pct"/>
            <w:shd w:val="clear" w:color="auto" w:fill="auto"/>
            <w:noWrap w:val="0"/>
            <w:vAlign w:val="center"/>
          </w:tcPr>
          <w:p w14:paraId="2511F9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221694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3903.1—2008</w:t>
            </w:r>
          </w:p>
          <w:p w14:paraId="0B1C89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208E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CE1FB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676C26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41F16D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67EB90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3903.2—2008</w:t>
            </w:r>
          </w:p>
          <w:p w14:paraId="4D1894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3025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E7F04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7C3686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外底与外中底粘合强度</w:t>
            </w:r>
          </w:p>
        </w:tc>
        <w:tc>
          <w:tcPr>
            <w:tcW w:w="1199" w:type="pct"/>
            <w:shd w:val="clear" w:color="auto" w:fill="auto"/>
            <w:noWrap w:val="0"/>
            <w:vAlign w:val="center"/>
          </w:tcPr>
          <w:p w14:paraId="210032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77C82A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2886—2007</w:t>
            </w:r>
          </w:p>
        </w:tc>
      </w:tr>
      <w:tr w14:paraId="2195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7765D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5E87D1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衬里和内垫耐摩擦色牢度</w:t>
            </w:r>
          </w:p>
        </w:tc>
        <w:tc>
          <w:tcPr>
            <w:tcW w:w="1199" w:type="pct"/>
            <w:shd w:val="clear" w:color="auto" w:fill="auto"/>
            <w:noWrap w:val="0"/>
            <w:vAlign w:val="center"/>
          </w:tcPr>
          <w:p w14:paraId="54B163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66BAE8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7E20A4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5C71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8EB6C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7D850A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可分解致癌芳香胺染料</w:t>
            </w:r>
          </w:p>
        </w:tc>
        <w:tc>
          <w:tcPr>
            <w:tcW w:w="1199" w:type="pct"/>
            <w:shd w:val="clear" w:color="auto" w:fill="auto"/>
            <w:noWrap w:val="0"/>
            <w:vAlign w:val="center"/>
          </w:tcPr>
          <w:p w14:paraId="77DF24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669687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17592—2011</w:t>
            </w:r>
          </w:p>
          <w:p w14:paraId="632AD4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19942—2005</w:t>
            </w:r>
          </w:p>
          <w:p w14:paraId="321087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23344—2009</w:t>
            </w:r>
          </w:p>
        </w:tc>
      </w:tr>
      <w:tr w14:paraId="52F4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3DFB3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15A9C5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游离或可部分水解的甲醛</w:t>
            </w:r>
          </w:p>
        </w:tc>
        <w:tc>
          <w:tcPr>
            <w:tcW w:w="1199" w:type="pct"/>
            <w:shd w:val="clear" w:color="auto" w:fill="auto"/>
            <w:noWrap w:val="0"/>
            <w:vAlign w:val="center"/>
          </w:tcPr>
          <w:p w14:paraId="546AEF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129AC0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5CC018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19941—2005</w:t>
            </w:r>
          </w:p>
        </w:tc>
      </w:tr>
    </w:tbl>
    <w:p w14:paraId="65A7A729">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3</w:t>
      </w:r>
      <w:r>
        <w:rPr>
          <w:rFonts w:hint="eastAsia" w:ascii="Times New Roman" w:hAnsi="Times New Roman" w:eastAsia="方正仿宋_GBK" w:cs="Times New Roman"/>
          <w:color w:val="000000"/>
          <w:sz w:val="28"/>
          <w:szCs w:val="28"/>
          <w:highlight w:val="none"/>
        </w:rPr>
        <w:t xml:space="preserve"> 老人鞋（休闲鞋）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5475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37" w:type="pct"/>
            <w:noWrap w:val="0"/>
            <w:vAlign w:val="center"/>
          </w:tcPr>
          <w:p w14:paraId="37736A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015DDE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40451B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5D4B41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35F6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E4E76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45C975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耐折性能</w:t>
            </w:r>
          </w:p>
        </w:tc>
        <w:tc>
          <w:tcPr>
            <w:tcW w:w="1199" w:type="pct"/>
            <w:shd w:val="clear" w:color="auto" w:fill="auto"/>
            <w:noWrap w:val="0"/>
            <w:vAlign w:val="center"/>
          </w:tcPr>
          <w:p w14:paraId="4AB572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78DFF4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3903.1—2017</w:t>
            </w:r>
          </w:p>
          <w:p w14:paraId="1FA6AB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08146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D6809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38F55C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3E57FD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453485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3903.2—2017</w:t>
            </w:r>
          </w:p>
          <w:p w14:paraId="1195F0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7E5F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C52EE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11D98F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剥离强度</w:t>
            </w:r>
          </w:p>
        </w:tc>
        <w:tc>
          <w:tcPr>
            <w:tcW w:w="1199" w:type="pct"/>
            <w:shd w:val="clear" w:color="auto" w:fill="auto"/>
            <w:noWrap w:val="0"/>
            <w:vAlign w:val="center"/>
          </w:tcPr>
          <w:p w14:paraId="2B220D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37818D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47638A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38D73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381AC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128496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鞋帮拉出强度</w:t>
            </w:r>
          </w:p>
        </w:tc>
        <w:tc>
          <w:tcPr>
            <w:tcW w:w="1199" w:type="pct"/>
            <w:shd w:val="clear" w:color="auto" w:fill="auto"/>
            <w:noWrap w:val="0"/>
            <w:vAlign w:val="center"/>
          </w:tcPr>
          <w:p w14:paraId="231073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092D32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5DB1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FCA22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2273ED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外底与外中底粘合强度</w:t>
            </w:r>
          </w:p>
        </w:tc>
        <w:tc>
          <w:tcPr>
            <w:tcW w:w="1199" w:type="pct"/>
            <w:shd w:val="clear" w:color="auto" w:fill="auto"/>
            <w:noWrap w:val="0"/>
            <w:vAlign w:val="center"/>
          </w:tcPr>
          <w:p w14:paraId="1F48F6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6038EA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21396—2008</w:t>
            </w:r>
          </w:p>
        </w:tc>
      </w:tr>
      <w:tr w14:paraId="493C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07DF0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288197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衬里和内垫摩擦色牢度</w:t>
            </w:r>
          </w:p>
        </w:tc>
        <w:tc>
          <w:tcPr>
            <w:tcW w:w="1199" w:type="pct"/>
            <w:shd w:val="clear" w:color="auto" w:fill="auto"/>
            <w:noWrap w:val="0"/>
            <w:vAlign w:val="center"/>
          </w:tcPr>
          <w:p w14:paraId="6F1DFC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061E32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62B710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54AA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20408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25795F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可分解有害芳香胺</w:t>
            </w:r>
          </w:p>
        </w:tc>
        <w:tc>
          <w:tcPr>
            <w:tcW w:w="1199" w:type="pct"/>
            <w:shd w:val="clear" w:color="auto" w:fill="auto"/>
            <w:noWrap w:val="0"/>
            <w:vAlign w:val="center"/>
          </w:tcPr>
          <w:p w14:paraId="194C18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382D0D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17592—2011</w:t>
            </w:r>
          </w:p>
          <w:p w14:paraId="2BA10E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19942—2005</w:t>
            </w:r>
          </w:p>
          <w:p w14:paraId="278082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23344—2009</w:t>
            </w:r>
          </w:p>
        </w:tc>
      </w:tr>
      <w:tr w14:paraId="387C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1E2942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8</w:t>
            </w:r>
          </w:p>
        </w:tc>
        <w:tc>
          <w:tcPr>
            <w:tcW w:w="1993" w:type="pct"/>
            <w:shd w:val="clear" w:color="auto" w:fill="auto"/>
            <w:noWrap w:val="0"/>
            <w:vAlign w:val="center"/>
          </w:tcPr>
          <w:p w14:paraId="618D27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游离或可部分水解的甲醛</w:t>
            </w:r>
          </w:p>
        </w:tc>
        <w:tc>
          <w:tcPr>
            <w:tcW w:w="1199" w:type="pct"/>
            <w:shd w:val="clear" w:color="auto" w:fill="auto"/>
            <w:noWrap w:val="0"/>
            <w:vAlign w:val="center"/>
          </w:tcPr>
          <w:p w14:paraId="5716CF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0E477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488BCF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19941—2005</w:t>
            </w:r>
          </w:p>
        </w:tc>
      </w:tr>
    </w:tbl>
    <w:p w14:paraId="157675D7">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4</w:t>
      </w:r>
      <w:r>
        <w:rPr>
          <w:rFonts w:hint="eastAsia" w:ascii="Times New Roman" w:hAnsi="Times New Roman" w:eastAsia="方正仿宋_GBK" w:cs="Times New Roman"/>
          <w:color w:val="000000"/>
          <w:sz w:val="28"/>
          <w:szCs w:val="28"/>
          <w:highlight w:val="none"/>
        </w:rPr>
        <w:t xml:space="preserve"> 老人鞋（布鞋）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7314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noWrap w:val="0"/>
            <w:vAlign w:val="center"/>
          </w:tcPr>
          <w:p w14:paraId="10032B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786E39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68AE34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74D464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5581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BC76C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59A2B5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帮底剥离强度</w:t>
            </w:r>
          </w:p>
        </w:tc>
        <w:tc>
          <w:tcPr>
            <w:tcW w:w="1199" w:type="pct"/>
            <w:shd w:val="clear" w:color="auto" w:fill="auto"/>
            <w:noWrap w:val="0"/>
            <w:vAlign w:val="center"/>
          </w:tcPr>
          <w:p w14:paraId="45D42F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00B342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44ED8D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r>
      <w:tr w14:paraId="1C89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AAD04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45FF29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成鞋耐折性能</w:t>
            </w:r>
          </w:p>
        </w:tc>
        <w:tc>
          <w:tcPr>
            <w:tcW w:w="1199" w:type="pct"/>
            <w:shd w:val="clear" w:color="auto" w:fill="auto"/>
            <w:noWrap w:val="0"/>
            <w:vAlign w:val="center"/>
          </w:tcPr>
          <w:p w14:paraId="684B25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422CF5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3903.1—2008</w:t>
            </w:r>
          </w:p>
          <w:p w14:paraId="0EEE34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r>
      <w:tr w14:paraId="5635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5C6163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1413FA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76A32C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67214A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3903.2—2008</w:t>
            </w:r>
          </w:p>
        </w:tc>
      </w:tr>
      <w:tr w14:paraId="3BB7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274CB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557098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衬里和内垫摩擦色牢度</w:t>
            </w:r>
          </w:p>
        </w:tc>
        <w:tc>
          <w:tcPr>
            <w:tcW w:w="1199" w:type="pct"/>
            <w:shd w:val="clear" w:color="auto" w:fill="auto"/>
            <w:noWrap w:val="0"/>
            <w:vAlign w:val="center"/>
          </w:tcPr>
          <w:p w14:paraId="72CA7C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780232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196619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r>
      <w:tr w14:paraId="7CB7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CA7FC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7DC606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成型底鞋跟硬度</w:t>
            </w:r>
          </w:p>
        </w:tc>
        <w:tc>
          <w:tcPr>
            <w:tcW w:w="1199" w:type="pct"/>
            <w:shd w:val="clear" w:color="auto" w:fill="auto"/>
            <w:noWrap w:val="0"/>
            <w:vAlign w:val="center"/>
          </w:tcPr>
          <w:p w14:paraId="19BAF5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6B2634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3903.4—2008</w:t>
            </w:r>
          </w:p>
        </w:tc>
      </w:tr>
      <w:tr w14:paraId="3B56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00DB6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25FABB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可分解致癌芳香胺染料含量</w:t>
            </w:r>
          </w:p>
        </w:tc>
        <w:tc>
          <w:tcPr>
            <w:tcW w:w="1199" w:type="pct"/>
            <w:shd w:val="clear" w:color="auto" w:fill="auto"/>
            <w:noWrap w:val="0"/>
            <w:vAlign w:val="center"/>
          </w:tcPr>
          <w:p w14:paraId="426640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651879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17592—2006</w:t>
            </w:r>
          </w:p>
          <w:p w14:paraId="2C59E7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19942—2005</w:t>
            </w:r>
          </w:p>
        </w:tc>
      </w:tr>
      <w:tr w14:paraId="73D3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E9807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51878C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游离或可部分水解的甲醛含量</w:t>
            </w:r>
          </w:p>
        </w:tc>
        <w:tc>
          <w:tcPr>
            <w:tcW w:w="1199" w:type="pct"/>
            <w:shd w:val="clear" w:color="auto" w:fill="auto"/>
            <w:noWrap w:val="0"/>
            <w:vAlign w:val="center"/>
          </w:tcPr>
          <w:p w14:paraId="57E12D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457C52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195B59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19941—2005</w:t>
            </w:r>
          </w:p>
        </w:tc>
      </w:tr>
    </w:tbl>
    <w:p w14:paraId="79067895">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4</w:t>
      </w:r>
      <w:r>
        <w:rPr>
          <w:rFonts w:hint="eastAsia" w:ascii="Times New Roman" w:hAnsi="Times New Roman" w:eastAsia="方正仿宋_GBK" w:cs="Times New Roman"/>
          <w:color w:val="000000"/>
          <w:sz w:val="28"/>
          <w:szCs w:val="28"/>
          <w:highlight w:val="none"/>
        </w:rPr>
        <w:t xml:space="preserve"> 老人鞋（老年橡塑鞋）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47AA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noWrap w:val="0"/>
            <w:vAlign w:val="center"/>
          </w:tcPr>
          <w:p w14:paraId="3A9DB8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637D8F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674D8A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337A42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578C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2FE67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6C27FA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硬度</w:t>
            </w:r>
          </w:p>
        </w:tc>
        <w:tc>
          <w:tcPr>
            <w:tcW w:w="1199" w:type="pct"/>
            <w:shd w:val="clear" w:color="auto" w:fill="auto"/>
            <w:noWrap w:val="0"/>
            <w:vAlign w:val="center"/>
          </w:tcPr>
          <w:p w14:paraId="02AE20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74202A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531.1—2008</w:t>
            </w:r>
          </w:p>
          <w:p w14:paraId="6D3447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2489—2007</w:t>
            </w:r>
          </w:p>
        </w:tc>
      </w:tr>
      <w:tr w14:paraId="79FE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48CB9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1930C8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磨耗量</w:t>
            </w:r>
          </w:p>
        </w:tc>
        <w:tc>
          <w:tcPr>
            <w:tcW w:w="1199" w:type="pct"/>
            <w:shd w:val="clear" w:color="auto" w:fill="auto"/>
            <w:noWrap w:val="0"/>
            <w:vAlign w:val="center"/>
          </w:tcPr>
          <w:p w14:paraId="6ABF0F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540D5A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9867—2008方法A</w:t>
            </w:r>
          </w:p>
        </w:tc>
      </w:tr>
      <w:tr w14:paraId="51C8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FB3BC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311E10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压缩变形</w:t>
            </w:r>
          </w:p>
        </w:tc>
        <w:tc>
          <w:tcPr>
            <w:tcW w:w="1199" w:type="pct"/>
            <w:shd w:val="clear" w:color="auto" w:fill="auto"/>
            <w:noWrap w:val="0"/>
            <w:vAlign w:val="center"/>
          </w:tcPr>
          <w:p w14:paraId="4DAD8A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50A46F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2876—2009</w:t>
            </w:r>
          </w:p>
        </w:tc>
      </w:tr>
      <w:tr w14:paraId="4253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95090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5FBCC4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拔出力</w:t>
            </w:r>
          </w:p>
        </w:tc>
        <w:tc>
          <w:tcPr>
            <w:tcW w:w="1199" w:type="pct"/>
            <w:shd w:val="clear" w:color="auto" w:fill="auto"/>
            <w:noWrap w:val="0"/>
            <w:vAlign w:val="center"/>
          </w:tcPr>
          <w:p w14:paraId="5D9DBA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7D42B9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2877—2014</w:t>
            </w:r>
          </w:p>
        </w:tc>
      </w:tr>
      <w:tr w14:paraId="05AD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DF9CE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4A12C3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衬里和内垫耐摩擦色牢度</w:t>
            </w:r>
          </w:p>
        </w:tc>
        <w:tc>
          <w:tcPr>
            <w:tcW w:w="1199" w:type="pct"/>
            <w:shd w:val="clear" w:color="auto" w:fill="auto"/>
            <w:noWrap w:val="0"/>
            <w:vAlign w:val="center"/>
          </w:tcPr>
          <w:p w14:paraId="3FD9E0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3D2C34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55A087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5294—2018</w:t>
            </w:r>
          </w:p>
        </w:tc>
      </w:tr>
      <w:tr w14:paraId="7C32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5FA063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02D7BE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帮底黏合强度</w:t>
            </w:r>
          </w:p>
        </w:tc>
        <w:tc>
          <w:tcPr>
            <w:tcW w:w="1199" w:type="pct"/>
            <w:shd w:val="clear" w:color="auto" w:fill="auto"/>
            <w:noWrap w:val="0"/>
            <w:vAlign w:val="center"/>
          </w:tcPr>
          <w:p w14:paraId="22D8B2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2E47A0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21396—2008</w:t>
            </w:r>
          </w:p>
        </w:tc>
      </w:tr>
      <w:tr w14:paraId="67AF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0313B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30DDAA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防滑性能</w:t>
            </w:r>
          </w:p>
        </w:tc>
        <w:tc>
          <w:tcPr>
            <w:tcW w:w="1199" w:type="pct"/>
            <w:shd w:val="clear" w:color="auto" w:fill="auto"/>
            <w:noWrap w:val="0"/>
            <w:vAlign w:val="center"/>
          </w:tcPr>
          <w:p w14:paraId="196D74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0ACA74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3780—2005方法2</w:t>
            </w:r>
          </w:p>
        </w:tc>
      </w:tr>
      <w:tr w14:paraId="7AF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A8062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8</w:t>
            </w:r>
          </w:p>
        </w:tc>
        <w:tc>
          <w:tcPr>
            <w:tcW w:w="1993" w:type="pct"/>
            <w:shd w:val="clear" w:color="auto" w:fill="auto"/>
            <w:noWrap w:val="0"/>
            <w:vAlign w:val="center"/>
          </w:tcPr>
          <w:p w14:paraId="65899C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6价铬</w:t>
            </w:r>
          </w:p>
        </w:tc>
        <w:tc>
          <w:tcPr>
            <w:tcW w:w="1199" w:type="pct"/>
            <w:shd w:val="clear" w:color="auto" w:fill="auto"/>
            <w:noWrap w:val="0"/>
            <w:vAlign w:val="center"/>
          </w:tcPr>
          <w:p w14:paraId="60E962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69FC02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22807—2008</w:t>
            </w:r>
          </w:p>
        </w:tc>
      </w:tr>
      <w:tr w14:paraId="2E45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178A84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9</w:t>
            </w:r>
          </w:p>
        </w:tc>
        <w:tc>
          <w:tcPr>
            <w:tcW w:w="1993" w:type="pct"/>
            <w:shd w:val="clear" w:color="auto" w:fill="auto"/>
            <w:noWrap w:val="0"/>
            <w:vAlign w:val="center"/>
          </w:tcPr>
          <w:p w14:paraId="1726EA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可分解有害芳香胺染料</w:t>
            </w:r>
          </w:p>
        </w:tc>
        <w:tc>
          <w:tcPr>
            <w:tcW w:w="1199" w:type="pct"/>
            <w:shd w:val="clear" w:color="auto" w:fill="auto"/>
            <w:noWrap w:val="0"/>
            <w:vAlign w:val="center"/>
          </w:tcPr>
          <w:p w14:paraId="59D184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77B101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17592—2011</w:t>
            </w:r>
          </w:p>
          <w:p w14:paraId="736CFF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19942—2005</w:t>
            </w:r>
          </w:p>
          <w:p w14:paraId="4B686F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23344—2009</w:t>
            </w:r>
          </w:p>
        </w:tc>
      </w:tr>
      <w:tr w14:paraId="788F2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44C46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10</w:t>
            </w:r>
          </w:p>
        </w:tc>
        <w:tc>
          <w:tcPr>
            <w:tcW w:w="1993" w:type="pct"/>
            <w:shd w:val="clear" w:color="auto" w:fill="auto"/>
            <w:noWrap w:val="0"/>
            <w:vAlign w:val="center"/>
          </w:tcPr>
          <w:p w14:paraId="48BE55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含氯酚</w:t>
            </w:r>
          </w:p>
          <w:p w14:paraId="0536E6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（五氯苯酚（PCP）、2,3,5,6—四氯苯酚（TeCP））</w:t>
            </w:r>
          </w:p>
        </w:tc>
        <w:tc>
          <w:tcPr>
            <w:tcW w:w="1199" w:type="pct"/>
            <w:shd w:val="clear" w:color="auto" w:fill="auto"/>
            <w:noWrap w:val="0"/>
            <w:vAlign w:val="center"/>
          </w:tcPr>
          <w:p w14:paraId="2D0E1F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32FA68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18414.1—2006</w:t>
            </w:r>
          </w:p>
        </w:tc>
      </w:tr>
    </w:tbl>
    <w:p w14:paraId="5D07A625">
      <w:pPr>
        <w:spacing w:line="580" w:lineRule="exact"/>
        <w:ind w:firstLine="640" w:firstLineChars="200"/>
        <w:rPr>
          <w:rFonts w:eastAsia="方正仿宋_GBK"/>
          <w:sz w:val="32"/>
          <w:szCs w:val="32"/>
        </w:rPr>
      </w:pPr>
      <w:r>
        <w:rPr>
          <w:rFonts w:eastAsia="方正仿宋_GBK"/>
          <w:sz w:val="32"/>
          <w:szCs w:val="32"/>
        </w:rPr>
        <w:t>检验方法包括相关产品标准及试验方法标准。</w:t>
      </w:r>
    </w:p>
    <w:p w14:paraId="1404E9BA">
      <w:pPr>
        <w:pStyle w:val="13"/>
      </w:pPr>
      <w:r>
        <w:rPr>
          <w:rFonts w:eastAsia="方正仿宋_GBK"/>
          <w:sz w:val="32"/>
          <w:szCs w:val="32"/>
        </w:rPr>
        <w:t>凡是注日期的文件，其随后所有的修改单（不包括勘误的内容）或修订版不适用于本细则。凡是不注日期的文件，其最新版本适用于本细则。</w:t>
      </w:r>
    </w:p>
    <w:p w14:paraId="29AC600E">
      <w:pPr>
        <w:spacing w:line="600" w:lineRule="exact"/>
        <w:ind w:firstLine="640" w:firstLineChars="200"/>
        <w:rPr>
          <w:rFonts w:eastAsia="黑体"/>
          <w:bCs/>
          <w:sz w:val="32"/>
          <w:szCs w:val="32"/>
        </w:rPr>
      </w:pPr>
      <w:r>
        <w:rPr>
          <w:rFonts w:hint="eastAsia" w:eastAsia="黑体"/>
          <w:bCs/>
          <w:sz w:val="32"/>
          <w:szCs w:val="32"/>
        </w:rPr>
        <w:t>4.判定规则</w:t>
      </w:r>
    </w:p>
    <w:p w14:paraId="4A7D9D48">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4.1依据标准</w:t>
      </w:r>
    </w:p>
    <w:p w14:paraId="3E1AFE1A">
      <w:pPr>
        <w:widowControl/>
        <w:shd w:val="clear" w:color="auto" w:fill="FEFFFF"/>
        <w:spacing w:line="480" w:lineRule="exact"/>
        <w:ind w:firstLine="640" w:firstLineChars="200"/>
        <w:jc w:val="left"/>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val="en-US" w:eastAsia="zh-CN" w:bidi="ar"/>
        </w:rPr>
        <w:t>GB</w:t>
      </w:r>
      <w:r>
        <w:rPr>
          <w:rFonts w:hint="eastAsia" w:eastAsia="方正仿宋_GBK"/>
          <w:kern w:val="0"/>
          <w:sz w:val="32"/>
          <w:szCs w:val="32"/>
          <w:shd w:val="clear" w:color="auto" w:fill="FFFFFF"/>
          <w:lang w:bidi="ar"/>
        </w:rPr>
        <w:t xml:space="preserve">/T </w:t>
      </w:r>
      <w:r>
        <w:rPr>
          <w:rFonts w:hint="eastAsia" w:eastAsia="方正仿宋_GBK"/>
          <w:kern w:val="0"/>
          <w:sz w:val="32"/>
          <w:szCs w:val="32"/>
          <w:shd w:val="clear" w:color="auto" w:fill="FFFFFF"/>
          <w:lang w:val="en-US" w:eastAsia="zh-CN" w:bidi="ar"/>
        </w:rPr>
        <w:t>15107-2013</w:t>
      </w:r>
      <w:r>
        <w:rPr>
          <w:rFonts w:hint="eastAsia" w:eastAsia="方正仿宋_GBK"/>
          <w:kern w:val="0"/>
          <w:sz w:val="32"/>
          <w:szCs w:val="32"/>
          <w:shd w:val="clear" w:color="auto" w:fill="FFFFFF"/>
          <w:lang w:bidi="ar"/>
        </w:rPr>
        <w:t xml:space="preserve"> 《</w:t>
      </w:r>
      <w:r>
        <w:rPr>
          <w:rFonts w:hint="eastAsia" w:eastAsia="方正仿宋_GBK"/>
          <w:kern w:val="0"/>
          <w:sz w:val="32"/>
          <w:szCs w:val="32"/>
          <w:shd w:val="clear" w:color="auto" w:fill="FFFFFF"/>
          <w:lang w:eastAsia="zh-CN" w:bidi="ar"/>
        </w:rPr>
        <w:t>旅游鞋</w:t>
      </w:r>
      <w:r>
        <w:rPr>
          <w:rFonts w:hint="eastAsia" w:eastAsia="方正仿宋_GBK"/>
          <w:kern w:val="0"/>
          <w:sz w:val="32"/>
          <w:szCs w:val="32"/>
          <w:shd w:val="clear" w:color="auto" w:fill="FFFFFF"/>
          <w:lang w:bidi="ar"/>
        </w:rPr>
        <w:t>》（含第1号修改单）</w:t>
      </w:r>
    </w:p>
    <w:p w14:paraId="753E1386">
      <w:pPr>
        <w:widowControl/>
        <w:shd w:val="clear" w:color="auto" w:fill="FEFFFF"/>
        <w:spacing w:line="480" w:lineRule="exact"/>
        <w:ind w:firstLine="640" w:firstLineChars="200"/>
        <w:jc w:val="left"/>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 xml:space="preserve">QB/T </w:t>
      </w:r>
      <w:r>
        <w:rPr>
          <w:rFonts w:hint="eastAsia" w:eastAsia="方正仿宋_GBK"/>
          <w:kern w:val="0"/>
          <w:sz w:val="32"/>
          <w:szCs w:val="32"/>
          <w:shd w:val="clear" w:color="auto" w:fill="FFFFFF"/>
          <w:lang w:val="en-US" w:eastAsia="zh-CN" w:bidi="ar"/>
        </w:rPr>
        <w:t xml:space="preserve">2955-2017 </w:t>
      </w:r>
      <w:r>
        <w:rPr>
          <w:rFonts w:hint="eastAsia" w:eastAsia="方正仿宋_GBK"/>
          <w:kern w:val="0"/>
          <w:sz w:val="32"/>
          <w:szCs w:val="32"/>
          <w:shd w:val="clear" w:color="auto" w:fill="FFFFFF"/>
          <w:lang w:bidi="ar"/>
        </w:rPr>
        <w:t>《</w:t>
      </w:r>
      <w:r>
        <w:rPr>
          <w:rFonts w:hint="eastAsia" w:eastAsia="方正仿宋_GBK"/>
          <w:kern w:val="0"/>
          <w:sz w:val="32"/>
          <w:szCs w:val="32"/>
          <w:shd w:val="clear" w:color="auto" w:fill="FFFFFF"/>
          <w:lang w:eastAsia="zh-CN" w:bidi="ar"/>
        </w:rPr>
        <w:t>休闲鞋</w:t>
      </w:r>
      <w:r>
        <w:rPr>
          <w:rFonts w:hint="eastAsia" w:eastAsia="方正仿宋_GBK"/>
          <w:kern w:val="0"/>
          <w:sz w:val="32"/>
          <w:szCs w:val="32"/>
          <w:shd w:val="clear" w:color="auto" w:fill="FFFFFF"/>
          <w:lang w:bidi="ar"/>
        </w:rPr>
        <w:t>》</w:t>
      </w:r>
    </w:p>
    <w:p w14:paraId="2BB7ECB9">
      <w:pPr>
        <w:widowControl/>
        <w:shd w:val="clear" w:color="auto" w:fill="FEFFFF"/>
        <w:spacing w:line="480" w:lineRule="exact"/>
        <w:ind w:firstLine="640" w:firstLineChars="200"/>
        <w:jc w:val="left"/>
        <w:rPr>
          <w:rFonts w:hint="eastAsia" w:eastAsia="方正仿宋_GBK"/>
          <w:kern w:val="0"/>
          <w:sz w:val="32"/>
          <w:szCs w:val="32"/>
          <w:shd w:val="clear" w:color="auto" w:fill="FFFFFF"/>
          <w:lang w:val="en-US" w:eastAsia="zh-CN" w:bidi="ar"/>
        </w:rPr>
      </w:pPr>
      <w:r>
        <w:rPr>
          <w:rFonts w:hint="eastAsia" w:eastAsia="方正仿宋_GBK"/>
          <w:kern w:val="0"/>
          <w:sz w:val="32"/>
          <w:szCs w:val="32"/>
          <w:shd w:val="clear" w:color="auto" w:fill="FFFFFF"/>
          <w:lang w:val="en-US" w:eastAsia="zh-CN" w:bidi="ar"/>
        </w:rPr>
        <w:t>QB/T 4329-2012 《布鞋》</w:t>
      </w:r>
    </w:p>
    <w:p w14:paraId="2ACFF7FA">
      <w:pPr>
        <w:widowControl/>
        <w:shd w:val="clear" w:color="auto" w:fill="FEFFFF"/>
        <w:spacing w:line="480" w:lineRule="exact"/>
        <w:ind w:firstLine="640" w:firstLineChars="200"/>
        <w:jc w:val="left"/>
        <w:rPr>
          <w:rFonts w:hint="eastAsia" w:eastAsia="方正仿宋_GBK"/>
          <w:kern w:val="0"/>
          <w:sz w:val="32"/>
          <w:szCs w:val="32"/>
          <w:shd w:val="clear" w:color="auto" w:fill="FFFFFF"/>
          <w:lang w:val="en-US" w:eastAsia="zh-CN" w:bidi="ar"/>
        </w:rPr>
      </w:pPr>
      <w:r>
        <w:rPr>
          <w:rFonts w:hint="eastAsia" w:eastAsia="方正仿宋_GBK"/>
          <w:kern w:val="0"/>
          <w:sz w:val="32"/>
          <w:szCs w:val="32"/>
          <w:shd w:val="clear" w:color="auto" w:fill="FFFFFF"/>
          <w:lang w:val="en-US" w:eastAsia="zh-CN" w:bidi="ar"/>
        </w:rPr>
        <w:t>GB/T 43587-2023《老人鞋》</w:t>
      </w:r>
    </w:p>
    <w:p w14:paraId="7F3AC5B9">
      <w:pPr>
        <w:widowControl/>
        <w:shd w:val="clear" w:color="auto" w:fill="FEFFFF"/>
        <w:spacing w:line="480" w:lineRule="exact"/>
        <w:ind w:firstLine="640" w:firstLineChars="200"/>
        <w:jc w:val="left"/>
        <w:rPr>
          <w:rFonts w:eastAsia="方正仿宋_GBK"/>
          <w:kern w:val="0"/>
          <w:sz w:val="32"/>
          <w:szCs w:val="32"/>
          <w:shd w:val="clear" w:color="auto" w:fill="FFFFFF"/>
          <w:lang w:bidi="ar"/>
        </w:rPr>
      </w:pPr>
      <w:r>
        <w:rPr>
          <w:rFonts w:hint="eastAsia" w:eastAsia="方正仿宋_GBK"/>
          <w:kern w:val="0"/>
          <w:sz w:val="32"/>
          <w:szCs w:val="32"/>
          <w:shd w:val="clear" w:color="auto" w:fill="FFFFFF"/>
          <w:lang w:val="en-US" w:eastAsia="zh-CN" w:bidi="ar"/>
        </w:rPr>
        <w:t>HG/T 5294-2018《老年橡塑鞋》</w:t>
      </w:r>
    </w:p>
    <w:p w14:paraId="70C12FEE">
      <w:pPr>
        <w:spacing w:line="560" w:lineRule="exact"/>
        <w:ind w:firstLine="640" w:firstLineChars="200"/>
      </w:pPr>
      <w:r>
        <w:rPr>
          <w:rFonts w:hint="eastAsia" w:eastAsia="方正仿宋_GBK"/>
          <w:kern w:val="0"/>
          <w:sz w:val="32"/>
          <w:szCs w:val="32"/>
          <w:shd w:val="clear" w:color="auto" w:fill="FFFFFF"/>
          <w:lang w:bidi="ar"/>
        </w:rPr>
        <w:t>现行有效的企业标准、团体标准、地方标准及产品明示质量要求</w:t>
      </w:r>
    </w:p>
    <w:p w14:paraId="506F7FFF">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4.2判定原则</w:t>
      </w:r>
    </w:p>
    <w:p w14:paraId="7994DD83">
      <w:pPr>
        <w:spacing w:line="580" w:lineRule="exact"/>
        <w:ind w:firstLine="560"/>
        <w:rPr>
          <w:rFonts w:eastAsia="方正仿宋_GBK"/>
          <w:sz w:val="32"/>
          <w:szCs w:val="32"/>
        </w:rPr>
      </w:pPr>
      <w:r>
        <w:rPr>
          <w:rFonts w:eastAsia="方正仿宋_GBK"/>
          <w:sz w:val="32"/>
          <w:szCs w:val="32"/>
        </w:rPr>
        <w:t>经检验，检验项目全部合格，判定为被抽查产品</w:t>
      </w:r>
      <w:r>
        <w:rPr>
          <w:rFonts w:hint="eastAsia" w:eastAsia="方正仿宋_GBK"/>
          <w:sz w:val="32"/>
          <w:szCs w:val="32"/>
          <w:lang w:eastAsia="zh-CN"/>
        </w:rPr>
        <w:t>未发现不合格</w:t>
      </w:r>
      <w:r>
        <w:rPr>
          <w:rFonts w:eastAsia="方正仿宋_GBK"/>
          <w:sz w:val="32"/>
          <w:szCs w:val="32"/>
        </w:rPr>
        <w:t>；检验项目中任一项或一项以上不合格，判定为被抽查产品不合格。</w:t>
      </w:r>
    </w:p>
    <w:p w14:paraId="389200E6">
      <w:pPr>
        <w:spacing w:line="580" w:lineRule="exact"/>
        <w:ind w:firstLine="560"/>
        <w:rPr>
          <w:rFonts w:eastAsia="方正仿宋_GBK"/>
          <w:sz w:val="32"/>
          <w:szCs w:val="32"/>
        </w:rPr>
      </w:pPr>
      <w:r>
        <w:rPr>
          <w:rFonts w:eastAsia="方正仿宋_GBK"/>
          <w:sz w:val="32"/>
          <w:szCs w:val="32"/>
        </w:rPr>
        <w:t>若被检产品明示的质量要求高于本细则中检验项目依据的标准要求时，应按被检产品明示的质量要求判定。</w:t>
      </w:r>
    </w:p>
    <w:p w14:paraId="320A87A5">
      <w:pPr>
        <w:spacing w:line="580" w:lineRule="exact"/>
        <w:ind w:firstLine="560"/>
        <w:rPr>
          <w:rFonts w:eastAsia="方正仿宋_GBK"/>
          <w:sz w:val="32"/>
          <w:szCs w:val="32"/>
        </w:rPr>
      </w:pPr>
      <w:r>
        <w:rPr>
          <w:rFonts w:eastAsia="方正仿宋_GBK"/>
          <w:sz w:val="32"/>
          <w:szCs w:val="32"/>
        </w:rPr>
        <w:t>若被检产品明示的质量要求低于本细则中检验项目依据的强制性标准要求时，应按照强制性标准要求判定。</w:t>
      </w:r>
    </w:p>
    <w:p w14:paraId="6187DBE0">
      <w:pPr>
        <w:spacing w:line="580" w:lineRule="exact"/>
        <w:ind w:firstLine="560"/>
        <w:rPr>
          <w:rFonts w:eastAsia="方正仿宋_GBK"/>
          <w:sz w:val="32"/>
          <w:szCs w:val="32"/>
        </w:rPr>
      </w:pPr>
      <w:r>
        <w:rPr>
          <w:rFonts w:eastAsia="方正仿宋_GBK"/>
          <w:sz w:val="32"/>
          <w:szCs w:val="32"/>
        </w:rPr>
        <w:t>若被检产品明示的质量要求低于或包含细则中检验项目依据的推荐性标准要求时，应以被检产品明示的质量要求判定，但应在检验报告备注中进行说明。</w:t>
      </w:r>
    </w:p>
    <w:p w14:paraId="1EA3F32C">
      <w:pPr>
        <w:spacing w:line="580" w:lineRule="exact"/>
        <w:ind w:firstLine="560"/>
        <w:rPr>
          <w:rFonts w:eastAsia="方正仿宋_GBK"/>
          <w:sz w:val="32"/>
          <w:szCs w:val="32"/>
        </w:rPr>
      </w:pPr>
      <w:r>
        <w:rPr>
          <w:rFonts w:eastAsia="方正仿宋_GBK"/>
          <w:sz w:val="32"/>
          <w:szCs w:val="32"/>
        </w:rPr>
        <w:t>若被检产品明示的质量要求缺少本细则中检验项目依据的强制性标准要求时，应按照强制性标准要求判定。</w:t>
      </w:r>
    </w:p>
    <w:p w14:paraId="252C0380">
      <w:pPr>
        <w:spacing w:line="580" w:lineRule="exact"/>
        <w:ind w:firstLine="560"/>
        <w:rPr>
          <w:rFonts w:eastAsia="方正仿宋_GBK"/>
          <w:sz w:val="32"/>
          <w:szCs w:val="32"/>
        </w:rPr>
      </w:pPr>
      <w:r>
        <w:rPr>
          <w:rFonts w:eastAsia="方正仿宋_GBK"/>
          <w:sz w:val="32"/>
          <w:szCs w:val="32"/>
        </w:rPr>
        <w:t>若被检产品明示的质量要求缺少本细则中检验项目依据的推荐性标准要求时，该项目不参与判定，但应在检验报告备注中进行说明。</w:t>
      </w:r>
    </w:p>
    <w:p w14:paraId="09E0AB89">
      <w:pPr>
        <w:spacing w:line="600" w:lineRule="exact"/>
        <w:ind w:firstLine="640" w:firstLineChars="200"/>
        <w:rPr>
          <w:rFonts w:eastAsia="黑体"/>
          <w:bCs/>
          <w:sz w:val="32"/>
          <w:szCs w:val="32"/>
        </w:rPr>
      </w:pPr>
      <w:r>
        <w:rPr>
          <w:rFonts w:hint="eastAsia" w:eastAsia="黑体"/>
          <w:bCs/>
          <w:sz w:val="32"/>
          <w:szCs w:val="32"/>
        </w:rPr>
        <w:t>5.异议处理</w:t>
      </w:r>
    </w:p>
    <w:p w14:paraId="1BD6EBF8">
      <w:pPr>
        <w:spacing w:line="580" w:lineRule="exact"/>
        <w:ind w:firstLine="640" w:firstLineChars="200"/>
        <w:rPr>
          <w:rFonts w:eastAsia="方正仿宋_GBK"/>
          <w:sz w:val="32"/>
          <w:szCs w:val="32"/>
        </w:rPr>
      </w:pPr>
      <w:r>
        <w:rPr>
          <w:rFonts w:eastAsia="方正仿宋_GBK"/>
          <w:sz w:val="32"/>
          <w:szCs w:val="32"/>
        </w:rPr>
        <w:t>5.1对监督抽查程序有异议的，由任务下达部门核查相关证据后维持或者撤销原检验结果。</w:t>
      </w:r>
    </w:p>
    <w:p w14:paraId="2D790ABA">
      <w:pPr>
        <w:spacing w:line="580" w:lineRule="exact"/>
        <w:ind w:firstLine="640" w:firstLineChars="200"/>
        <w:rPr>
          <w:rFonts w:eastAsia="方正仿宋_GBK"/>
          <w:sz w:val="32"/>
          <w:szCs w:val="32"/>
        </w:rPr>
      </w:pPr>
      <w:r>
        <w:rPr>
          <w:rFonts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56465CB">
      <w:pPr>
        <w:spacing w:line="580" w:lineRule="exact"/>
        <w:ind w:firstLine="640" w:firstLineChars="200"/>
        <w:rPr>
          <w:rFonts w:eastAsia="方正仿宋_GBK"/>
          <w:sz w:val="32"/>
          <w:szCs w:val="32"/>
        </w:rPr>
      </w:pPr>
      <w:r>
        <w:rPr>
          <w:rFonts w:eastAsia="方正仿宋_GBK"/>
          <w:sz w:val="32"/>
          <w:szCs w:val="32"/>
        </w:rPr>
        <w:t>5.3对样品信息有异议的，任务下达部门核查样品确认情况和生产企业提交证明材料后，维持或者撤销原检验结果。</w:t>
      </w:r>
    </w:p>
    <w:p w14:paraId="16612F49">
      <w:pPr>
        <w:spacing w:line="580" w:lineRule="exact"/>
        <w:ind w:firstLine="640" w:firstLineChars="200"/>
        <w:rPr>
          <w:rFonts w:eastAsia="方正仿宋_GBK"/>
          <w:kern w:val="0"/>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幼圆">
    <w:panose1 w:val="0201050906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Yjg0NjhiN2MxY2Q1NGMyMzBlNGIwZTk1ZGQzOGEifQ=="/>
  </w:docVars>
  <w:rsids>
    <w:rsidRoot w:val="00994F91"/>
    <w:rsid w:val="00033E88"/>
    <w:rsid w:val="000A502C"/>
    <w:rsid w:val="000B6A27"/>
    <w:rsid w:val="003164C4"/>
    <w:rsid w:val="00446234"/>
    <w:rsid w:val="005D75BF"/>
    <w:rsid w:val="006B75A3"/>
    <w:rsid w:val="00793664"/>
    <w:rsid w:val="007E4F6F"/>
    <w:rsid w:val="0080591C"/>
    <w:rsid w:val="008405B3"/>
    <w:rsid w:val="008720B8"/>
    <w:rsid w:val="00890A1D"/>
    <w:rsid w:val="008A5AF6"/>
    <w:rsid w:val="00994F91"/>
    <w:rsid w:val="00AF02BA"/>
    <w:rsid w:val="00B00D67"/>
    <w:rsid w:val="00DA7853"/>
    <w:rsid w:val="00E20367"/>
    <w:rsid w:val="00E80721"/>
    <w:rsid w:val="00ED1EA0"/>
    <w:rsid w:val="012D2956"/>
    <w:rsid w:val="01A06AD2"/>
    <w:rsid w:val="02171F57"/>
    <w:rsid w:val="06E67F99"/>
    <w:rsid w:val="08602AC4"/>
    <w:rsid w:val="088C12CE"/>
    <w:rsid w:val="0E176739"/>
    <w:rsid w:val="0E9C5543"/>
    <w:rsid w:val="0EBE6916"/>
    <w:rsid w:val="10487217"/>
    <w:rsid w:val="17A84B2D"/>
    <w:rsid w:val="1A000004"/>
    <w:rsid w:val="1B8D30AE"/>
    <w:rsid w:val="1C0C5403"/>
    <w:rsid w:val="1D73102E"/>
    <w:rsid w:val="1FBD0C37"/>
    <w:rsid w:val="210C37AF"/>
    <w:rsid w:val="234A7ACC"/>
    <w:rsid w:val="23BA3996"/>
    <w:rsid w:val="24D84BF4"/>
    <w:rsid w:val="24FD5B3C"/>
    <w:rsid w:val="2794761F"/>
    <w:rsid w:val="27A446BF"/>
    <w:rsid w:val="28304227"/>
    <w:rsid w:val="28844573"/>
    <w:rsid w:val="2A456C73"/>
    <w:rsid w:val="2A773956"/>
    <w:rsid w:val="2CB1595F"/>
    <w:rsid w:val="2D1C4D7A"/>
    <w:rsid w:val="2E387404"/>
    <w:rsid w:val="2E461188"/>
    <w:rsid w:val="2F177760"/>
    <w:rsid w:val="2FB25859"/>
    <w:rsid w:val="31C7465B"/>
    <w:rsid w:val="31F42B20"/>
    <w:rsid w:val="3210122D"/>
    <w:rsid w:val="32E07F1D"/>
    <w:rsid w:val="330305AB"/>
    <w:rsid w:val="33BB353F"/>
    <w:rsid w:val="35A44C19"/>
    <w:rsid w:val="35F965A0"/>
    <w:rsid w:val="36363350"/>
    <w:rsid w:val="369167D9"/>
    <w:rsid w:val="37AA49D8"/>
    <w:rsid w:val="37AC550D"/>
    <w:rsid w:val="39830040"/>
    <w:rsid w:val="3B2A612B"/>
    <w:rsid w:val="3BA01686"/>
    <w:rsid w:val="3D2C1780"/>
    <w:rsid w:val="3E5F71BC"/>
    <w:rsid w:val="3F0210F1"/>
    <w:rsid w:val="41452F52"/>
    <w:rsid w:val="41A84412"/>
    <w:rsid w:val="42951E55"/>
    <w:rsid w:val="42F76679"/>
    <w:rsid w:val="448237D5"/>
    <w:rsid w:val="453F3DD4"/>
    <w:rsid w:val="45ED3300"/>
    <w:rsid w:val="48757D08"/>
    <w:rsid w:val="494B0AC3"/>
    <w:rsid w:val="4D6D160C"/>
    <w:rsid w:val="4DD90079"/>
    <w:rsid w:val="4E1A11FD"/>
    <w:rsid w:val="4E7D266B"/>
    <w:rsid w:val="4EF13E61"/>
    <w:rsid w:val="4F51757B"/>
    <w:rsid w:val="50E61077"/>
    <w:rsid w:val="55157092"/>
    <w:rsid w:val="56E8384C"/>
    <w:rsid w:val="576645CF"/>
    <w:rsid w:val="57BA311F"/>
    <w:rsid w:val="582B13C4"/>
    <w:rsid w:val="5A060B49"/>
    <w:rsid w:val="5A0F3BDB"/>
    <w:rsid w:val="5B422E2E"/>
    <w:rsid w:val="5BA23CA6"/>
    <w:rsid w:val="5C6C2D78"/>
    <w:rsid w:val="5D6E5C4B"/>
    <w:rsid w:val="5FEC09D1"/>
    <w:rsid w:val="60097D62"/>
    <w:rsid w:val="621041BC"/>
    <w:rsid w:val="64760C38"/>
    <w:rsid w:val="64EF072B"/>
    <w:rsid w:val="652F5297"/>
    <w:rsid w:val="65505775"/>
    <w:rsid w:val="65AF2987"/>
    <w:rsid w:val="67C32D24"/>
    <w:rsid w:val="686F7E78"/>
    <w:rsid w:val="68B76601"/>
    <w:rsid w:val="6918360E"/>
    <w:rsid w:val="6A7A6795"/>
    <w:rsid w:val="6E201C15"/>
    <w:rsid w:val="6E6E7E3E"/>
    <w:rsid w:val="6E8F27F1"/>
    <w:rsid w:val="709D754D"/>
    <w:rsid w:val="73736AB1"/>
    <w:rsid w:val="745637E3"/>
    <w:rsid w:val="76031347"/>
    <w:rsid w:val="785D2505"/>
    <w:rsid w:val="787225AD"/>
    <w:rsid w:val="78AE4475"/>
    <w:rsid w:val="7A0261A6"/>
    <w:rsid w:val="7AC72B46"/>
    <w:rsid w:val="7C0861C2"/>
    <w:rsid w:val="7C765833"/>
    <w:rsid w:val="7D6A4E96"/>
    <w:rsid w:val="7DC83E1C"/>
    <w:rsid w:val="7DF24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6"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rPr>
      <w:rFonts w:ascii="Calibri" w:hAnsi="Calibri"/>
    </w:rPr>
  </w:style>
  <w:style w:type="paragraph" w:styleId="4">
    <w:name w:val="Body Text"/>
    <w:basedOn w:val="1"/>
    <w:next w:val="5"/>
    <w:unhideWhenUsed/>
    <w:qFormat/>
    <w:uiPriority w:val="99"/>
    <w:pPr>
      <w:jc w:val="center"/>
    </w:pPr>
    <w:rPr>
      <w:rFonts w:ascii="Calibri" w:hAnsi="Calibri" w:eastAsia="幼圆" w:cs="Calibri"/>
      <w:b/>
      <w:bCs/>
      <w:sz w:val="44"/>
      <w:szCs w:val="44"/>
    </w:rPr>
  </w:style>
  <w:style w:type="paragraph" w:styleId="5">
    <w:name w:val="Body Text First Indent"/>
    <w:basedOn w:val="4"/>
    <w:qFormat/>
    <w:uiPriority w:val="99"/>
    <w:pPr>
      <w:spacing w:line="360" w:lineRule="auto"/>
      <w:ind w:firstLine="200" w:firstLineChars="200"/>
    </w:pPr>
    <w:rPr>
      <w:sz w:val="24"/>
    </w:rPr>
  </w:style>
  <w:style w:type="paragraph" w:styleId="6">
    <w:name w:val="Body Text Indent"/>
    <w:basedOn w:val="1"/>
    <w:qFormat/>
    <w:uiPriority w:val="0"/>
    <w:pPr>
      <w:ind w:firstLine="645"/>
    </w:pPr>
    <w:rPr>
      <w:rFonts w:ascii="楷体_GB2312" w:eastAsia="楷体_GB2312"/>
      <w:sz w:val="32"/>
      <w:szCs w:val="32"/>
    </w:rPr>
  </w:style>
  <w:style w:type="paragraph" w:styleId="7">
    <w:name w:val="Block Text"/>
    <w:basedOn w:val="1"/>
    <w:next w:val="2"/>
    <w:qFormat/>
    <w:uiPriority w:val="6"/>
    <w:pPr>
      <w:ind w:left="256" w:right="6" w:firstLine="624"/>
    </w:pPr>
    <w:rPr>
      <w:rFonts w:eastAsia="仿宋"/>
      <w:sz w:val="28"/>
    </w:rPr>
  </w:style>
  <w:style w:type="paragraph" w:styleId="8">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Body Text First Indent 2"/>
    <w:basedOn w:val="6"/>
    <w:qFormat/>
    <w:uiPriority w:val="0"/>
    <w:pPr>
      <w:spacing w:line="360" w:lineRule="auto"/>
      <w:ind w:firstLine="420" w:firstLineChars="200"/>
    </w:pPr>
    <w:rPr>
      <w:rFonts w:ascii="宋体" w:hAnsi="宋体"/>
      <w:szCs w:val="20"/>
    </w:rPr>
  </w:style>
  <w:style w:type="paragraph" w:customStyle="1" w:styleId="13">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字符"/>
    <w:basedOn w:val="12"/>
    <w:link w:val="9"/>
    <w:qFormat/>
    <w:uiPriority w:val="99"/>
    <w:rPr>
      <w:sz w:val="18"/>
      <w:szCs w:val="18"/>
    </w:rPr>
  </w:style>
  <w:style w:type="character" w:customStyle="1" w:styleId="15">
    <w:name w:val="页脚 字符"/>
    <w:basedOn w:val="12"/>
    <w:link w:val="8"/>
    <w:qFormat/>
    <w:uiPriority w:val="99"/>
    <w:rPr>
      <w:sz w:val="18"/>
      <w:szCs w:val="18"/>
    </w:rPr>
  </w:style>
  <w:style w:type="paragraph" w:customStyle="1" w:styleId="16">
    <w:name w:val="段"/>
    <w:qFormat/>
    <w:uiPriority w:val="0"/>
    <w:pPr>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17">
    <w:name w:val="批注文字 字符"/>
    <w:basedOn w:val="12"/>
    <w:link w:val="3"/>
    <w:qFormat/>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1942</Words>
  <Characters>3188</Characters>
  <Lines>9</Lines>
  <Paragraphs>2</Paragraphs>
  <TotalTime>1</TotalTime>
  <ScaleCrop>false</ScaleCrop>
  <LinksUpToDate>false</LinksUpToDate>
  <CharactersWithSpaces>3320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2020-01-19T07:05:00Z</dcterms:created>
  <dc:creator>PC</dc:creator>
  <cp:lastModifiedBy>Hwang</cp:lastModifiedBy>
  <dcterms:modified xsi:type="dcterms:W3CDTF">2025-07-08T02:12:33Z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5D52CFDE3FCB4A6AB6A8E789B3084F73_13</vt:lpwstr>
  </property>
  <property fmtid="{D5CDD505-2E9C-101B-9397-08002B2CF9AE}" pid="4" name="KSOSaveFontToCloudKey">
    <vt:lpwstr>559332025_btnclosed</vt:lpwstr>
  </property>
  <property fmtid="{D5CDD505-2E9C-101B-9397-08002B2CF9AE}" pid="5" name="KSOTemplateDocerSaveRecord">
    <vt:lpwstr>eyJoZGlkIjoiMTJkYzhjY2U0MjBkODY3NjJkMGIyYTQ0MzY3ODNhMDUiLCJ1c2VySWQiOiIzMzE0NjIwNzAifQ==</vt:lpwstr>
  </property>
</Properties>
</file>