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697D54">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南京市可重复使用塑料餐饮具产品质量监督</w:t>
      </w:r>
    </w:p>
    <w:p w14:paraId="6E789DD2">
      <w:pPr>
        <w:snapToGrid w:val="0"/>
        <w:spacing w:line="58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抽查实施细则</w:t>
      </w:r>
      <w:r>
        <w:rPr>
          <w:rFonts w:hint="eastAsia" w:ascii="宋体" w:hAnsi="宋体" w:cs="宋体"/>
          <w:b/>
          <w:color w:val="auto"/>
          <w:sz w:val="36"/>
          <w:szCs w:val="36"/>
          <w:lang w:eastAsia="zh-CN"/>
        </w:rPr>
        <w:t>（</w:t>
      </w:r>
      <w:r>
        <w:rPr>
          <w:rFonts w:hint="eastAsia" w:ascii="宋体" w:hAnsi="宋体" w:cs="宋体"/>
          <w:b/>
          <w:color w:val="auto"/>
          <w:sz w:val="36"/>
          <w:szCs w:val="36"/>
          <w:lang w:val="en-US" w:eastAsia="zh-CN"/>
        </w:rPr>
        <w:t>2025年版</w:t>
      </w:r>
      <w:r>
        <w:rPr>
          <w:rFonts w:hint="eastAsia" w:ascii="宋体" w:hAnsi="宋体" w:cs="宋体"/>
          <w:b/>
          <w:color w:val="auto"/>
          <w:sz w:val="36"/>
          <w:szCs w:val="36"/>
          <w:lang w:eastAsia="zh-CN"/>
        </w:rPr>
        <w:t>）</w:t>
      </w:r>
    </w:p>
    <w:p w14:paraId="694A3895">
      <w:pPr>
        <w:snapToGrid w:val="0"/>
        <w:spacing w:line="580" w:lineRule="exact"/>
        <w:jc w:val="left"/>
        <w:rPr>
          <w:rFonts w:ascii="方正小标宋_GBK" w:hAnsi="方正小标宋_GBK" w:eastAsia="方正小标宋_GBK" w:cs="方正小标宋_GBK"/>
          <w:color w:val="000000"/>
          <w:sz w:val="44"/>
          <w:szCs w:val="44"/>
        </w:rPr>
      </w:pPr>
    </w:p>
    <w:p w14:paraId="6B9B74D5">
      <w:pPr>
        <w:spacing w:line="600" w:lineRule="exact"/>
        <w:ind w:firstLine="640" w:firstLineChars="200"/>
        <w:rPr>
          <w:rFonts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1.范围</w:t>
      </w:r>
    </w:p>
    <w:p w14:paraId="7A390E82">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本细则适用于南京市市场监督管理局组织的可重复使用塑料餐饮具产品质量监督抽查检验。本细则规定了此产品的抽样方法、检验依据、检验项目、检验方法、判定原则、异议处理及复检。</w:t>
      </w:r>
    </w:p>
    <w:p w14:paraId="3AD653FF">
      <w:pPr>
        <w:spacing w:line="600" w:lineRule="exact"/>
        <w:ind w:firstLine="640" w:firstLineChars="200"/>
        <w:rPr>
          <w:rFonts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2.抽样方法</w:t>
      </w:r>
    </w:p>
    <w:p w14:paraId="5EAD76CA">
      <w:pPr>
        <w:spacing w:line="580" w:lineRule="exact"/>
        <w:ind w:firstLine="643" w:firstLineChars="200"/>
        <w:rPr>
          <w:rFonts w:eastAsia="方正仿宋_GBK"/>
          <w:b/>
          <w:bCs/>
          <w:kern w:val="0"/>
          <w:sz w:val="32"/>
          <w:szCs w:val="32"/>
          <w:shd w:val="clear" w:color="auto" w:fill="FFFFFF"/>
          <w:lang w:bidi="ar"/>
        </w:rPr>
      </w:pPr>
      <w:r>
        <w:rPr>
          <w:rFonts w:hint="eastAsia" w:eastAsia="方正仿宋_GBK"/>
          <w:b/>
          <w:bCs/>
          <w:kern w:val="0"/>
          <w:sz w:val="32"/>
          <w:szCs w:val="32"/>
          <w:shd w:val="clear" w:color="auto" w:fill="FFFFFF"/>
          <w:lang w:bidi="ar"/>
        </w:rPr>
        <w:t>2.1</w:t>
      </w:r>
      <w:r>
        <w:rPr>
          <w:rFonts w:hint="eastAsia" w:ascii="方正仿宋_GBK" w:hAnsi="方正仿宋_GBK" w:eastAsia="方正仿宋_GBK" w:cs="方正仿宋_GBK"/>
          <w:b/>
          <w:bCs/>
          <w:sz w:val="32"/>
          <w:szCs w:val="32"/>
          <w:lang w:eastAsia="zh-CN"/>
        </w:rPr>
        <w:t>生产企业、实</w:t>
      </w:r>
      <w:bookmarkStart w:id="0" w:name="_GoBack"/>
      <w:bookmarkEnd w:id="0"/>
      <w:r>
        <w:rPr>
          <w:rFonts w:hint="eastAsia" w:ascii="方正仿宋_GBK" w:hAnsi="方正仿宋_GBK" w:eastAsia="方正仿宋_GBK" w:cs="方正仿宋_GBK"/>
          <w:b/>
          <w:bCs/>
          <w:sz w:val="32"/>
          <w:szCs w:val="32"/>
        </w:rPr>
        <w:t>体店抽样</w:t>
      </w:r>
    </w:p>
    <w:p w14:paraId="6CCF4DAC">
      <w:pPr>
        <w:spacing w:line="580" w:lineRule="exact"/>
        <w:ind w:firstLine="640" w:firstLineChars="200"/>
        <w:rPr>
          <w:rFonts w:eastAsia="方正仿宋_GBK"/>
          <w:kern w:val="0"/>
          <w:sz w:val="32"/>
          <w:szCs w:val="32"/>
          <w:shd w:val="clear" w:color="auto" w:fill="FFFFFF"/>
          <w:lang w:bidi="ar"/>
        </w:rPr>
      </w:pPr>
      <w:r>
        <w:rPr>
          <w:rFonts w:ascii="方正仿宋_GBK" w:hAnsi="方正仿宋_GBK" w:eastAsia="方正仿宋_GBK" w:cs="方正仿宋_GBK"/>
          <w:sz w:val="32"/>
          <w:szCs w:val="32"/>
        </w:rPr>
        <w:t>在</w:t>
      </w:r>
      <w:r>
        <w:rPr>
          <w:rFonts w:hint="eastAsia" w:ascii="方正仿宋_GBK" w:hAnsi="方正仿宋_GBK" w:eastAsia="方正仿宋_GBK" w:cs="方正仿宋_GBK"/>
          <w:sz w:val="32"/>
          <w:szCs w:val="32"/>
        </w:rPr>
        <w:t>受检</w:t>
      </w:r>
      <w:r>
        <w:rPr>
          <w:rFonts w:ascii="方正仿宋_GBK" w:hAnsi="方正仿宋_GBK" w:eastAsia="方正仿宋_GBK" w:cs="方正仿宋_GBK"/>
          <w:sz w:val="32"/>
          <w:szCs w:val="32"/>
        </w:rPr>
        <w:t>企业的成品</w:t>
      </w:r>
      <w:r>
        <w:rPr>
          <w:rFonts w:hint="eastAsia" w:ascii="方正仿宋_GBK" w:hAnsi="方正仿宋_GBK" w:eastAsia="方正仿宋_GBK" w:cs="方正仿宋_GBK"/>
          <w:sz w:val="32"/>
          <w:szCs w:val="32"/>
        </w:rPr>
        <w:t>仓库或者其确认场所，</w:t>
      </w:r>
      <w:r>
        <w:rPr>
          <w:rFonts w:ascii="方正仿宋_GBK" w:hAnsi="方正仿宋_GBK" w:eastAsia="方正仿宋_GBK" w:cs="方正仿宋_GBK"/>
          <w:sz w:val="32"/>
          <w:szCs w:val="32"/>
        </w:rPr>
        <w:t>随机抽取有产品质量检验合格证明或者其他形式表明合格的</w:t>
      </w:r>
      <w:r>
        <w:rPr>
          <w:rFonts w:hint="eastAsia" w:ascii="方正仿宋_GBK" w:hAnsi="方正仿宋_GBK" w:eastAsia="方正仿宋_GBK" w:cs="方正仿宋_GBK"/>
          <w:sz w:val="32"/>
          <w:szCs w:val="32"/>
        </w:rPr>
        <w:t>待销</w:t>
      </w:r>
      <w:r>
        <w:rPr>
          <w:rFonts w:ascii="方正仿宋_GBK" w:hAnsi="方正仿宋_GBK" w:eastAsia="方正仿宋_GBK" w:cs="方正仿宋_GBK"/>
          <w:sz w:val="32"/>
          <w:szCs w:val="32"/>
        </w:rPr>
        <w:t>产品</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抽</w:t>
      </w:r>
      <w:r>
        <w:rPr>
          <w:rFonts w:hint="eastAsia" w:ascii="方正仿宋_GBK" w:hAnsi="方正仿宋_GBK" w:eastAsia="方正仿宋_GBK" w:cs="方正仿宋_GBK"/>
          <w:sz w:val="32"/>
          <w:szCs w:val="32"/>
        </w:rPr>
        <w:t>样基数应满足抽样要求。</w:t>
      </w:r>
      <w:r>
        <w:rPr>
          <w:rFonts w:hint="eastAsia" w:eastAsia="方正仿宋_GBK"/>
          <w:kern w:val="0"/>
          <w:sz w:val="32"/>
          <w:szCs w:val="32"/>
          <w:shd w:val="clear" w:color="auto" w:fill="FFFFFF"/>
          <w:lang w:bidi="ar"/>
        </w:rPr>
        <w:t>抽样过程均需拍照留证。一经抽样，立即封样，任何人不得调换。</w:t>
      </w:r>
    </w:p>
    <w:p w14:paraId="35A4ED97">
      <w:pPr>
        <w:spacing w:line="580" w:lineRule="exact"/>
        <w:ind w:firstLine="643" w:firstLineChars="200"/>
        <w:rPr>
          <w:rFonts w:eastAsia="方正仿宋_GBK"/>
          <w:b/>
          <w:bCs/>
          <w:kern w:val="0"/>
          <w:sz w:val="32"/>
          <w:szCs w:val="32"/>
          <w:shd w:val="clear" w:color="auto" w:fill="FFFFFF"/>
          <w:lang w:bidi="ar"/>
        </w:rPr>
      </w:pPr>
      <w:r>
        <w:rPr>
          <w:rFonts w:hint="eastAsia" w:eastAsia="方正仿宋_GBK"/>
          <w:b/>
          <w:bCs/>
          <w:kern w:val="0"/>
          <w:sz w:val="32"/>
          <w:szCs w:val="32"/>
          <w:shd w:val="clear" w:color="auto" w:fill="FFFFFF"/>
          <w:lang w:bidi="ar"/>
        </w:rPr>
        <w:t>2.2电商平台采样</w:t>
      </w:r>
    </w:p>
    <w:p w14:paraId="016938B8">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抽样数量</w:t>
      </w:r>
      <w:r>
        <w:rPr>
          <w:rFonts w:hint="eastAsia" w:ascii="方正仿宋_GBK" w:hAnsi="方正仿宋_GBK" w:eastAsia="方正仿宋_GBK" w:cs="方正仿宋_GBK"/>
          <w:sz w:val="32"/>
          <w:szCs w:val="32"/>
          <w:lang w:eastAsia="zh-CN"/>
        </w:rPr>
        <w:t>为</w:t>
      </w:r>
      <w:r>
        <w:rPr>
          <w:rFonts w:ascii="方正仿宋_GBK" w:hAnsi="方正仿宋_GBK" w:eastAsia="方正仿宋_GBK" w:cs="方正仿宋_GBK"/>
          <w:sz w:val="32"/>
          <w:szCs w:val="32"/>
        </w:rPr>
        <w:t>12</w:t>
      </w:r>
      <w:r>
        <w:rPr>
          <w:rFonts w:hint="eastAsia" w:ascii="方正仿宋_GBK" w:hAnsi="方正仿宋_GBK" w:eastAsia="方正仿宋_GBK" w:cs="方正仿宋_GBK"/>
          <w:sz w:val="32"/>
          <w:szCs w:val="32"/>
        </w:rPr>
        <w:t>个。</w:t>
      </w:r>
    </w:p>
    <w:p w14:paraId="14A3E5E6">
      <w:pPr>
        <w:spacing w:line="600" w:lineRule="exact"/>
        <w:ind w:firstLine="640" w:firstLineChars="200"/>
        <w:rPr>
          <w:rFonts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3.检验依据</w:t>
      </w:r>
    </w:p>
    <w:p w14:paraId="763F961D">
      <w:pPr>
        <w:snapToGrid w:val="0"/>
        <w:spacing w:line="440" w:lineRule="exact"/>
        <w:jc w:val="center"/>
        <w:rPr>
          <w:rFonts w:ascii="宋体" w:hAnsi="宋体" w:cs="宋体"/>
          <w:kern w:val="0"/>
          <w:szCs w:val="21"/>
        </w:rPr>
      </w:pPr>
      <w:r>
        <w:rPr>
          <w:rFonts w:hint="eastAsia" w:ascii="宋体" w:hAnsi="宋体" w:cs="宋体"/>
          <w:kern w:val="0"/>
          <w:szCs w:val="21"/>
        </w:rPr>
        <w:t>表1 可重复使用塑料餐饮具检验项目</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2"/>
        <w:gridCol w:w="3025"/>
        <w:gridCol w:w="2548"/>
        <w:gridCol w:w="2775"/>
      </w:tblGrid>
      <w:tr w14:paraId="10798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433" w:type="pct"/>
            <w:tcBorders>
              <w:top w:val="single" w:color="auto" w:sz="4" w:space="0"/>
              <w:left w:val="single" w:color="auto" w:sz="4" w:space="0"/>
              <w:bottom w:val="single" w:color="auto" w:sz="4" w:space="0"/>
              <w:right w:val="single" w:color="auto" w:sz="4" w:space="0"/>
            </w:tcBorders>
            <w:vAlign w:val="center"/>
          </w:tcPr>
          <w:p w14:paraId="26EAF71A">
            <w:pPr>
              <w:spacing w:line="240" w:lineRule="auto"/>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序号</w:t>
            </w:r>
          </w:p>
        </w:tc>
        <w:tc>
          <w:tcPr>
            <w:tcW w:w="1655" w:type="pct"/>
            <w:tcBorders>
              <w:top w:val="single" w:color="auto" w:sz="4" w:space="0"/>
              <w:left w:val="single" w:color="auto" w:sz="4" w:space="0"/>
              <w:bottom w:val="single" w:color="auto" w:sz="4" w:space="0"/>
              <w:right w:val="single" w:color="auto" w:sz="4" w:space="0"/>
            </w:tcBorders>
            <w:vAlign w:val="center"/>
          </w:tcPr>
          <w:p w14:paraId="33F9FDEF">
            <w:pPr>
              <w:spacing w:line="240" w:lineRule="auto"/>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检验检测项目</w:t>
            </w:r>
          </w:p>
        </w:tc>
        <w:tc>
          <w:tcPr>
            <w:tcW w:w="1394" w:type="pct"/>
            <w:tcBorders>
              <w:top w:val="single" w:color="auto" w:sz="4" w:space="0"/>
              <w:left w:val="single" w:color="auto" w:sz="4" w:space="0"/>
              <w:bottom w:val="single" w:color="auto" w:sz="4" w:space="0"/>
              <w:right w:val="single" w:color="auto" w:sz="4" w:space="0"/>
            </w:tcBorders>
            <w:vAlign w:val="center"/>
          </w:tcPr>
          <w:p w14:paraId="0DB64D38">
            <w:pPr>
              <w:spacing w:line="240" w:lineRule="auto"/>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检验检测依据</w:t>
            </w:r>
          </w:p>
        </w:tc>
        <w:tc>
          <w:tcPr>
            <w:tcW w:w="1515" w:type="pct"/>
            <w:tcBorders>
              <w:top w:val="single" w:color="auto" w:sz="4" w:space="0"/>
              <w:left w:val="single" w:color="auto" w:sz="4" w:space="0"/>
              <w:bottom w:val="single" w:color="auto" w:sz="4" w:space="0"/>
              <w:right w:val="single" w:color="auto" w:sz="4" w:space="0"/>
            </w:tcBorders>
            <w:vAlign w:val="center"/>
          </w:tcPr>
          <w:p w14:paraId="4BCAC2BE">
            <w:pPr>
              <w:spacing w:line="240" w:lineRule="auto"/>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检验检测方法</w:t>
            </w:r>
          </w:p>
        </w:tc>
      </w:tr>
      <w:tr w14:paraId="3FC25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3" w:type="pct"/>
            <w:tcBorders>
              <w:top w:val="single" w:color="auto" w:sz="4" w:space="0"/>
              <w:left w:val="single" w:color="auto" w:sz="4" w:space="0"/>
              <w:bottom w:val="single" w:color="auto" w:sz="4" w:space="0"/>
              <w:right w:val="single" w:color="auto" w:sz="4" w:space="0"/>
            </w:tcBorders>
            <w:vAlign w:val="center"/>
          </w:tcPr>
          <w:p w14:paraId="7BEA6B59">
            <w:pPr>
              <w:spacing w:line="240" w:lineRule="auto"/>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1655" w:type="pct"/>
            <w:tcBorders>
              <w:top w:val="single" w:color="auto" w:sz="4" w:space="0"/>
              <w:left w:val="single" w:color="auto" w:sz="4" w:space="0"/>
              <w:bottom w:val="single" w:color="auto" w:sz="4" w:space="0"/>
              <w:right w:val="single" w:color="auto" w:sz="4" w:space="0"/>
            </w:tcBorders>
            <w:vAlign w:val="center"/>
          </w:tcPr>
          <w:p w14:paraId="43492FDD">
            <w:pPr>
              <w:spacing w:line="240" w:lineRule="auto"/>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感官要求</w:t>
            </w:r>
          </w:p>
        </w:tc>
        <w:tc>
          <w:tcPr>
            <w:tcW w:w="1394" w:type="pct"/>
            <w:tcBorders>
              <w:top w:val="single" w:color="auto" w:sz="4" w:space="0"/>
              <w:left w:val="single" w:color="auto" w:sz="4" w:space="0"/>
              <w:right w:val="single" w:color="auto" w:sz="4" w:space="0"/>
            </w:tcBorders>
            <w:vAlign w:val="center"/>
          </w:tcPr>
          <w:p w14:paraId="5F8544FB">
            <w:pPr>
              <w:spacing w:line="240" w:lineRule="auto"/>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GB 4806.7-2023</w:t>
            </w:r>
          </w:p>
        </w:tc>
        <w:tc>
          <w:tcPr>
            <w:tcW w:w="1515" w:type="pct"/>
            <w:tcBorders>
              <w:top w:val="single" w:color="auto" w:sz="4" w:space="0"/>
              <w:left w:val="single" w:color="auto" w:sz="4" w:space="0"/>
              <w:right w:val="single" w:color="auto" w:sz="4" w:space="0"/>
            </w:tcBorders>
            <w:vAlign w:val="center"/>
          </w:tcPr>
          <w:p w14:paraId="572025C4">
            <w:pPr>
              <w:spacing w:line="240" w:lineRule="auto"/>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GB 4806.7-2023</w:t>
            </w:r>
          </w:p>
        </w:tc>
      </w:tr>
      <w:tr w14:paraId="0169C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3" w:type="pct"/>
            <w:tcBorders>
              <w:top w:val="single" w:color="auto" w:sz="4" w:space="0"/>
              <w:left w:val="single" w:color="auto" w:sz="4" w:space="0"/>
              <w:bottom w:val="single" w:color="auto" w:sz="4" w:space="0"/>
              <w:right w:val="single" w:color="auto" w:sz="4" w:space="0"/>
            </w:tcBorders>
            <w:vAlign w:val="center"/>
          </w:tcPr>
          <w:p w14:paraId="34E39BFD">
            <w:pPr>
              <w:spacing w:line="240" w:lineRule="auto"/>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2</w:t>
            </w:r>
          </w:p>
        </w:tc>
        <w:tc>
          <w:tcPr>
            <w:tcW w:w="1655" w:type="pct"/>
            <w:tcBorders>
              <w:top w:val="single" w:color="auto" w:sz="4" w:space="0"/>
              <w:left w:val="single" w:color="auto" w:sz="4" w:space="0"/>
              <w:bottom w:val="single" w:color="auto" w:sz="4" w:space="0"/>
              <w:right w:val="single" w:color="auto" w:sz="4" w:space="0"/>
            </w:tcBorders>
            <w:vAlign w:val="center"/>
          </w:tcPr>
          <w:p w14:paraId="3E25F78C">
            <w:pPr>
              <w:spacing w:line="240" w:lineRule="auto"/>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总迁移量</w:t>
            </w:r>
          </w:p>
        </w:tc>
        <w:tc>
          <w:tcPr>
            <w:tcW w:w="1394" w:type="pct"/>
            <w:tcBorders>
              <w:left w:val="single" w:color="auto" w:sz="4" w:space="0"/>
              <w:right w:val="single" w:color="auto" w:sz="4" w:space="0"/>
            </w:tcBorders>
            <w:vAlign w:val="center"/>
          </w:tcPr>
          <w:p w14:paraId="476F564B">
            <w:pPr>
              <w:spacing w:line="240" w:lineRule="auto"/>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GB 4806.7-2023</w:t>
            </w:r>
          </w:p>
        </w:tc>
        <w:tc>
          <w:tcPr>
            <w:tcW w:w="1515" w:type="pct"/>
            <w:tcBorders>
              <w:left w:val="single" w:color="auto" w:sz="4" w:space="0"/>
              <w:right w:val="single" w:color="auto" w:sz="4" w:space="0"/>
            </w:tcBorders>
            <w:vAlign w:val="center"/>
          </w:tcPr>
          <w:p w14:paraId="1CB23D2E">
            <w:pPr>
              <w:spacing w:line="240" w:lineRule="auto"/>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GB 31604.8-2021</w:t>
            </w:r>
          </w:p>
        </w:tc>
      </w:tr>
      <w:tr w14:paraId="702A0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3" w:type="pct"/>
            <w:tcBorders>
              <w:top w:val="single" w:color="auto" w:sz="4" w:space="0"/>
              <w:left w:val="single" w:color="auto" w:sz="4" w:space="0"/>
              <w:bottom w:val="single" w:color="auto" w:sz="4" w:space="0"/>
              <w:right w:val="single" w:color="auto" w:sz="4" w:space="0"/>
            </w:tcBorders>
            <w:vAlign w:val="center"/>
          </w:tcPr>
          <w:p w14:paraId="63A0692F">
            <w:pPr>
              <w:spacing w:line="240" w:lineRule="auto"/>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3</w:t>
            </w:r>
          </w:p>
        </w:tc>
        <w:tc>
          <w:tcPr>
            <w:tcW w:w="1655" w:type="pct"/>
            <w:tcBorders>
              <w:top w:val="single" w:color="auto" w:sz="4" w:space="0"/>
              <w:left w:val="single" w:color="auto" w:sz="4" w:space="0"/>
              <w:bottom w:val="single" w:color="auto" w:sz="4" w:space="0"/>
              <w:right w:val="single" w:color="auto" w:sz="4" w:space="0"/>
            </w:tcBorders>
            <w:vAlign w:val="center"/>
          </w:tcPr>
          <w:p w14:paraId="76917E14">
            <w:pPr>
              <w:spacing w:line="240" w:lineRule="auto"/>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高锰酸钾消耗量</w:t>
            </w:r>
          </w:p>
        </w:tc>
        <w:tc>
          <w:tcPr>
            <w:tcW w:w="1394" w:type="pct"/>
            <w:tcBorders>
              <w:left w:val="single" w:color="auto" w:sz="4" w:space="0"/>
              <w:right w:val="single" w:color="auto" w:sz="4" w:space="0"/>
            </w:tcBorders>
            <w:vAlign w:val="center"/>
          </w:tcPr>
          <w:p w14:paraId="1AE8E2A2">
            <w:pPr>
              <w:spacing w:line="240" w:lineRule="auto"/>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GB 4806.7-2023</w:t>
            </w:r>
          </w:p>
        </w:tc>
        <w:tc>
          <w:tcPr>
            <w:tcW w:w="1515" w:type="pct"/>
            <w:tcBorders>
              <w:left w:val="single" w:color="auto" w:sz="4" w:space="0"/>
              <w:right w:val="single" w:color="auto" w:sz="4" w:space="0"/>
            </w:tcBorders>
            <w:vAlign w:val="center"/>
          </w:tcPr>
          <w:p w14:paraId="05B48F82">
            <w:pPr>
              <w:spacing w:line="240" w:lineRule="auto"/>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GB 31604.2-2016</w:t>
            </w:r>
          </w:p>
        </w:tc>
      </w:tr>
      <w:tr w14:paraId="48476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3" w:type="pct"/>
            <w:tcBorders>
              <w:top w:val="single" w:color="auto" w:sz="4" w:space="0"/>
              <w:left w:val="single" w:color="auto" w:sz="4" w:space="0"/>
              <w:bottom w:val="single" w:color="auto" w:sz="4" w:space="0"/>
              <w:right w:val="single" w:color="auto" w:sz="4" w:space="0"/>
            </w:tcBorders>
            <w:vAlign w:val="center"/>
          </w:tcPr>
          <w:p w14:paraId="0D322B80">
            <w:pPr>
              <w:spacing w:line="240" w:lineRule="auto"/>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4</w:t>
            </w:r>
          </w:p>
        </w:tc>
        <w:tc>
          <w:tcPr>
            <w:tcW w:w="1655" w:type="pct"/>
            <w:tcBorders>
              <w:top w:val="single" w:color="auto" w:sz="4" w:space="0"/>
              <w:left w:val="single" w:color="auto" w:sz="4" w:space="0"/>
              <w:bottom w:val="single" w:color="auto" w:sz="4" w:space="0"/>
              <w:right w:val="single" w:color="auto" w:sz="4" w:space="0"/>
            </w:tcBorders>
            <w:vAlign w:val="center"/>
          </w:tcPr>
          <w:p w14:paraId="00BEE5C8">
            <w:pPr>
              <w:spacing w:line="240" w:lineRule="auto"/>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重金属（以Pb计）</w:t>
            </w:r>
          </w:p>
        </w:tc>
        <w:tc>
          <w:tcPr>
            <w:tcW w:w="1394" w:type="pct"/>
            <w:tcBorders>
              <w:left w:val="single" w:color="auto" w:sz="4" w:space="0"/>
              <w:right w:val="single" w:color="auto" w:sz="4" w:space="0"/>
            </w:tcBorders>
            <w:vAlign w:val="center"/>
          </w:tcPr>
          <w:p w14:paraId="694A6BC7">
            <w:pPr>
              <w:spacing w:line="240" w:lineRule="auto"/>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GB 4806.7-2023</w:t>
            </w:r>
          </w:p>
        </w:tc>
        <w:tc>
          <w:tcPr>
            <w:tcW w:w="1515" w:type="pct"/>
            <w:tcBorders>
              <w:left w:val="single" w:color="auto" w:sz="4" w:space="0"/>
              <w:right w:val="single" w:color="auto" w:sz="4" w:space="0"/>
            </w:tcBorders>
            <w:vAlign w:val="center"/>
          </w:tcPr>
          <w:p w14:paraId="698CF869">
            <w:pPr>
              <w:spacing w:line="240" w:lineRule="auto"/>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GB 31604.9-2016</w:t>
            </w:r>
          </w:p>
        </w:tc>
      </w:tr>
      <w:tr w14:paraId="1B712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3" w:type="pct"/>
            <w:tcBorders>
              <w:top w:val="single" w:color="auto" w:sz="4" w:space="0"/>
              <w:left w:val="single" w:color="auto" w:sz="4" w:space="0"/>
              <w:bottom w:val="single" w:color="auto" w:sz="4" w:space="0"/>
              <w:right w:val="single" w:color="auto" w:sz="4" w:space="0"/>
            </w:tcBorders>
            <w:vAlign w:val="center"/>
          </w:tcPr>
          <w:p w14:paraId="4F9556BA">
            <w:pPr>
              <w:spacing w:line="240" w:lineRule="auto"/>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5</w:t>
            </w:r>
          </w:p>
        </w:tc>
        <w:tc>
          <w:tcPr>
            <w:tcW w:w="1655" w:type="pct"/>
            <w:tcBorders>
              <w:top w:val="single" w:color="auto" w:sz="4" w:space="0"/>
              <w:left w:val="single" w:color="auto" w:sz="4" w:space="0"/>
              <w:bottom w:val="single" w:color="auto" w:sz="4" w:space="0"/>
              <w:right w:val="single" w:color="auto" w:sz="4" w:space="0"/>
            </w:tcBorders>
            <w:vAlign w:val="center"/>
          </w:tcPr>
          <w:p w14:paraId="35634445">
            <w:pPr>
              <w:spacing w:line="240" w:lineRule="auto"/>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脱色试验</w:t>
            </w:r>
          </w:p>
        </w:tc>
        <w:tc>
          <w:tcPr>
            <w:tcW w:w="1394" w:type="pct"/>
            <w:tcBorders>
              <w:left w:val="single" w:color="auto" w:sz="4" w:space="0"/>
              <w:right w:val="single" w:color="auto" w:sz="4" w:space="0"/>
            </w:tcBorders>
            <w:vAlign w:val="center"/>
          </w:tcPr>
          <w:p w14:paraId="0548650A">
            <w:pPr>
              <w:spacing w:line="240" w:lineRule="auto"/>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GB 4806.7-2023</w:t>
            </w:r>
          </w:p>
        </w:tc>
        <w:tc>
          <w:tcPr>
            <w:tcW w:w="1515" w:type="pct"/>
            <w:tcBorders>
              <w:left w:val="single" w:color="auto" w:sz="4" w:space="0"/>
              <w:right w:val="single" w:color="auto" w:sz="4" w:space="0"/>
            </w:tcBorders>
            <w:vAlign w:val="center"/>
          </w:tcPr>
          <w:p w14:paraId="2B91224E">
            <w:pPr>
              <w:spacing w:line="240" w:lineRule="auto"/>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GB 31604.7-2023</w:t>
            </w:r>
          </w:p>
        </w:tc>
      </w:tr>
      <w:tr w14:paraId="466A3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3" w:type="pct"/>
            <w:tcBorders>
              <w:top w:val="single" w:color="auto" w:sz="4" w:space="0"/>
              <w:left w:val="single" w:color="auto" w:sz="4" w:space="0"/>
              <w:bottom w:val="single" w:color="auto" w:sz="4" w:space="0"/>
              <w:right w:val="single" w:color="auto" w:sz="4" w:space="0"/>
            </w:tcBorders>
            <w:vAlign w:val="center"/>
          </w:tcPr>
          <w:p w14:paraId="0C48CAB7">
            <w:pPr>
              <w:spacing w:line="240" w:lineRule="auto"/>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6</w:t>
            </w:r>
          </w:p>
        </w:tc>
        <w:tc>
          <w:tcPr>
            <w:tcW w:w="1655" w:type="pct"/>
            <w:tcBorders>
              <w:top w:val="single" w:color="auto" w:sz="4" w:space="0"/>
              <w:left w:val="single" w:color="auto" w:sz="4" w:space="0"/>
              <w:bottom w:val="single" w:color="auto" w:sz="4" w:space="0"/>
              <w:right w:val="single" w:color="auto" w:sz="4" w:space="0"/>
            </w:tcBorders>
            <w:vAlign w:val="center"/>
          </w:tcPr>
          <w:p w14:paraId="7132BA8E">
            <w:pPr>
              <w:spacing w:line="240" w:lineRule="auto"/>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芳香族伯胺迁移总量</w:t>
            </w:r>
          </w:p>
        </w:tc>
        <w:tc>
          <w:tcPr>
            <w:tcW w:w="1394" w:type="pct"/>
            <w:tcBorders>
              <w:left w:val="single" w:color="auto" w:sz="4" w:space="0"/>
              <w:right w:val="single" w:color="auto" w:sz="4" w:space="0"/>
            </w:tcBorders>
            <w:vAlign w:val="center"/>
          </w:tcPr>
          <w:p w14:paraId="58CACA23">
            <w:pPr>
              <w:spacing w:line="240" w:lineRule="auto"/>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GB 4806.7-2023</w:t>
            </w:r>
          </w:p>
        </w:tc>
        <w:tc>
          <w:tcPr>
            <w:tcW w:w="1515" w:type="pct"/>
            <w:tcBorders>
              <w:left w:val="single" w:color="auto" w:sz="4" w:space="0"/>
              <w:right w:val="single" w:color="auto" w:sz="4" w:space="0"/>
            </w:tcBorders>
            <w:vAlign w:val="center"/>
          </w:tcPr>
          <w:p w14:paraId="4A3F3072">
            <w:pPr>
              <w:spacing w:line="240" w:lineRule="auto"/>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GB 31604.52-2021</w:t>
            </w:r>
          </w:p>
        </w:tc>
      </w:tr>
      <w:tr w14:paraId="55D4D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3" w:type="pct"/>
            <w:tcBorders>
              <w:top w:val="single" w:color="auto" w:sz="4" w:space="0"/>
              <w:left w:val="single" w:color="auto" w:sz="4" w:space="0"/>
              <w:bottom w:val="single" w:color="auto" w:sz="4" w:space="0"/>
              <w:right w:val="single" w:color="auto" w:sz="4" w:space="0"/>
            </w:tcBorders>
            <w:vAlign w:val="center"/>
          </w:tcPr>
          <w:p w14:paraId="1836830A">
            <w:pPr>
              <w:spacing w:line="240" w:lineRule="auto"/>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7</w:t>
            </w:r>
          </w:p>
        </w:tc>
        <w:tc>
          <w:tcPr>
            <w:tcW w:w="1655" w:type="pct"/>
            <w:tcBorders>
              <w:top w:val="single" w:color="auto" w:sz="4" w:space="0"/>
              <w:left w:val="single" w:color="auto" w:sz="4" w:space="0"/>
              <w:bottom w:val="single" w:color="auto" w:sz="4" w:space="0"/>
              <w:right w:val="single" w:color="auto" w:sz="4" w:space="0"/>
            </w:tcBorders>
            <w:vAlign w:val="center"/>
          </w:tcPr>
          <w:p w14:paraId="349C3FB6">
            <w:pPr>
              <w:spacing w:line="240" w:lineRule="auto"/>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特定迁移量（以锑计）（限PET材质）</w:t>
            </w:r>
          </w:p>
        </w:tc>
        <w:tc>
          <w:tcPr>
            <w:tcW w:w="1394" w:type="pct"/>
            <w:tcBorders>
              <w:left w:val="single" w:color="auto" w:sz="4" w:space="0"/>
              <w:right w:val="single" w:color="auto" w:sz="4" w:space="0"/>
            </w:tcBorders>
            <w:vAlign w:val="center"/>
          </w:tcPr>
          <w:p w14:paraId="35FFB066">
            <w:pPr>
              <w:spacing w:line="240" w:lineRule="auto"/>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GB 9685-2016</w:t>
            </w:r>
          </w:p>
        </w:tc>
        <w:tc>
          <w:tcPr>
            <w:tcW w:w="1515" w:type="pct"/>
            <w:tcBorders>
              <w:left w:val="single" w:color="auto" w:sz="4" w:space="0"/>
              <w:right w:val="single" w:color="auto" w:sz="4" w:space="0"/>
            </w:tcBorders>
            <w:vAlign w:val="center"/>
          </w:tcPr>
          <w:p w14:paraId="1B1BC9E3">
            <w:pPr>
              <w:spacing w:line="240" w:lineRule="auto"/>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GB 31604.41-2016</w:t>
            </w:r>
          </w:p>
          <w:p w14:paraId="367927A7">
            <w:pPr>
              <w:spacing w:line="240" w:lineRule="auto"/>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GB 31604.49-2023</w:t>
            </w:r>
          </w:p>
        </w:tc>
      </w:tr>
      <w:tr w14:paraId="5DF8D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3" w:type="pct"/>
            <w:tcBorders>
              <w:top w:val="single" w:color="auto" w:sz="4" w:space="0"/>
              <w:left w:val="single" w:color="auto" w:sz="4" w:space="0"/>
              <w:bottom w:val="single" w:color="auto" w:sz="4" w:space="0"/>
              <w:right w:val="single" w:color="auto" w:sz="4" w:space="0"/>
            </w:tcBorders>
            <w:vAlign w:val="center"/>
          </w:tcPr>
          <w:p w14:paraId="78389EDC">
            <w:pPr>
              <w:spacing w:line="240" w:lineRule="auto"/>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8</w:t>
            </w:r>
          </w:p>
        </w:tc>
        <w:tc>
          <w:tcPr>
            <w:tcW w:w="1655" w:type="pct"/>
            <w:tcBorders>
              <w:top w:val="single" w:color="auto" w:sz="4" w:space="0"/>
              <w:left w:val="single" w:color="auto" w:sz="4" w:space="0"/>
              <w:bottom w:val="single" w:color="auto" w:sz="4" w:space="0"/>
              <w:right w:val="single" w:color="auto" w:sz="4" w:space="0"/>
            </w:tcBorders>
            <w:vAlign w:val="center"/>
          </w:tcPr>
          <w:p w14:paraId="5B61F5A0">
            <w:pPr>
              <w:spacing w:line="240" w:lineRule="auto"/>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特定迁移总量（以乙二醇计）（限PET材质）</w:t>
            </w:r>
          </w:p>
        </w:tc>
        <w:tc>
          <w:tcPr>
            <w:tcW w:w="1394" w:type="pct"/>
            <w:tcBorders>
              <w:left w:val="single" w:color="auto" w:sz="4" w:space="0"/>
              <w:right w:val="single" w:color="auto" w:sz="4" w:space="0"/>
            </w:tcBorders>
            <w:vAlign w:val="center"/>
          </w:tcPr>
          <w:p w14:paraId="6339C1AB">
            <w:pPr>
              <w:spacing w:line="240" w:lineRule="auto"/>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GB 4806.7-2023</w:t>
            </w:r>
          </w:p>
        </w:tc>
        <w:tc>
          <w:tcPr>
            <w:tcW w:w="1515" w:type="pct"/>
            <w:tcBorders>
              <w:left w:val="single" w:color="auto" w:sz="4" w:space="0"/>
              <w:right w:val="single" w:color="auto" w:sz="4" w:space="0"/>
            </w:tcBorders>
            <w:vAlign w:val="center"/>
          </w:tcPr>
          <w:p w14:paraId="2A26CAFB">
            <w:pPr>
              <w:spacing w:line="240" w:lineRule="auto"/>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GB 31604.44-2016</w:t>
            </w:r>
          </w:p>
        </w:tc>
      </w:tr>
      <w:tr w14:paraId="5D706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3" w:type="pct"/>
            <w:tcBorders>
              <w:top w:val="single" w:color="auto" w:sz="4" w:space="0"/>
              <w:left w:val="single" w:color="auto" w:sz="4" w:space="0"/>
              <w:bottom w:val="single" w:color="auto" w:sz="4" w:space="0"/>
              <w:right w:val="single" w:color="auto" w:sz="4" w:space="0"/>
            </w:tcBorders>
            <w:vAlign w:val="center"/>
          </w:tcPr>
          <w:p w14:paraId="4F76A4E9">
            <w:pPr>
              <w:spacing w:line="240" w:lineRule="auto"/>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9</w:t>
            </w:r>
          </w:p>
        </w:tc>
        <w:tc>
          <w:tcPr>
            <w:tcW w:w="1655" w:type="pct"/>
            <w:tcBorders>
              <w:top w:val="single" w:color="auto" w:sz="4" w:space="0"/>
              <w:left w:val="single" w:color="auto" w:sz="4" w:space="0"/>
              <w:bottom w:val="single" w:color="auto" w:sz="4" w:space="0"/>
              <w:right w:val="single" w:color="auto" w:sz="4" w:space="0"/>
            </w:tcBorders>
            <w:vAlign w:val="center"/>
          </w:tcPr>
          <w:p w14:paraId="44D7C227">
            <w:pPr>
              <w:spacing w:line="240" w:lineRule="auto"/>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特定迁移总量（以对苯二甲酸计）（限PET材质）</w:t>
            </w:r>
          </w:p>
        </w:tc>
        <w:tc>
          <w:tcPr>
            <w:tcW w:w="1394" w:type="pct"/>
            <w:tcBorders>
              <w:left w:val="single" w:color="auto" w:sz="4" w:space="0"/>
              <w:right w:val="single" w:color="auto" w:sz="4" w:space="0"/>
            </w:tcBorders>
            <w:vAlign w:val="center"/>
          </w:tcPr>
          <w:p w14:paraId="466E0309">
            <w:pPr>
              <w:spacing w:line="240" w:lineRule="auto"/>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GB 4806.7-2023</w:t>
            </w:r>
          </w:p>
        </w:tc>
        <w:tc>
          <w:tcPr>
            <w:tcW w:w="1515" w:type="pct"/>
            <w:tcBorders>
              <w:left w:val="single" w:color="auto" w:sz="4" w:space="0"/>
              <w:right w:val="single" w:color="auto" w:sz="4" w:space="0"/>
            </w:tcBorders>
            <w:vAlign w:val="center"/>
          </w:tcPr>
          <w:p w14:paraId="420B6E86">
            <w:pPr>
              <w:spacing w:line="240" w:lineRule="auto"/>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GB 31604.21-2016</w:t>
            </w:r>
          </w:p>
        </w:tc>
      </w:tr>
      <w:tr w14:paraId="3BB49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3" w:type="pct"/>
            <w:tcBorders>
              <w:top w:val="single" w:color="auto" w:sz="4" w:space="0"/>
              <w:left w:val="single" w:color="auto" w:sz="4" w:space="0"/>
              <w:bottom w:val="single" w:color="auto" w:sz="4" w:space="0"/>
              <w:right w:val="single" w:color="auto" w:sz="4" w:space="0"/>
            </w:tcBorders>
            <w:vAlign w:val="center"/>
          </w:tcPr>
          <w:p w14:paraId="6302E187">
            <w:pPr>
              <w:spacing w:line="240" w:lineRule="auto"/>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10</w:t>
            </w:r>
          </w:p>
        </w:tc>
        <w:tc>
          <w:tcPr>
            <w:tcW w:w="1655" w:type="pct"/>
            <w:tcBorders>
              <w:top w:val="single" w:color="auto" w:sz="4" w:space="0"/>
              <w:left w:val="single" w:color="auto" w:sz="4" w:space="0"/>
              <w:bottom w:val="single" w:color="auto" w:sz="4" w:space="0"/>
              <w:right w:val="single" w:color="auto" w:sz="4" w:space="0"/>
            </w:tcBorders>
            <w:vAlign w:val="center"/>
          </w:tcPr>
          <w:p w14:paraId="40F1CB1D">
            <w:pPr>
              <w:spacing w:line="240" w:lineRule="auto"/>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1,3-丁二烯迁移量（限</w:t>
            </w:r>
            <w:r>
              <w:rPr>
                <w:rFonts w:hint="eastAsia" w:ascii="方正仿宋_GBK" w:hAnsi="方正仿宋_GBK" w:eastAsia="方正仿宋_GBK" w:cs="方正仿宋_GBK"/>
                <w:szCs w:val="21"/>
                <w:lang w:val="en-US" w:eastAsia="zh-CN"/>
              </w:rPr>
              <w:t>添加</w:t>
            </w:r>
            <w:r>
              <w:rPr>
                <w:rFonts w:hint="eastAsia" w:ascii="方正仿宋_GBK" w:hAnsi="方正仿宋_GBK" w:eastAsia="方正仿宋_GBK" w:cs="方正仿宋_GBK"/>
                <w:szCs w:val="21"/>
              </w:rPr>
              <w:t>1,3-丁二烯</w:t>
            </w:r>
            <w:r>
              <w:rPr>
                <w:rFonts w:hint="eastAsia" w:ascii="方正仿宋_GBK" w:hAnsi="方正仿宋_GBK" w:eastAsia="方正仿宋_GBK" w:cs="方正仿宋_GBK"/>
                <w:szCs w:val="21"/>
                <w:lang w:val="en-US" w:eastAsia="zh-CN"/>
              </w:rPr>
              <w:t>单体的</w:t>
            </w:r>
            <w:r>
              <w:rPr>
                <w:rFonts w:hint="eastAsia" w:ascii="方正仿宋_GBK" w:hAnsi="方正仿宋_GBK" w:eastAsia="方正仿宋_GBK" w:cs="方正仿宋_GBK"/>
                <w:szCs w:val="21"/>
              </w:rPr>
              <w:t>P</w:t>
            </w:r>
            <w:r>
              <w:rPr>
                <w:rFonts w:hint="eastAsia" w:ascii="方正仿宋_GBK" w:hAnsi="方正仿宋_GBK" w:eastAsia="方正仿宋_GBK" w:cs="方正仿宋_GBK"/>
                <w:szCs w:val="21"/>
                <w:lang w:val="en-US" w:eastAsia="zh-CN"/>
              </w:rPr>
              <w:t>S</w:t>
            </w:r>
            <w:r>
              <w:rPr>
                <w:rFonts w:hint="eastAsia" w:ascii="方正仿宋_GBK" w:hAnsi="方正仿宋_GBK" w:eastAsia="方正仿宋_GBK" w:cs="方正仿宋_GBK"/>
                <w:szCs w:val="21"/>
              </w:rPr>
              <w:t>材质）</w:t>
            </w:r>
          </w:p>
        </w:tc>
        <w:tc>
          <w:tcPr>
            <w:tcW w:w="1394" w:type="pct"/>
            <w:tcBorders>
              <w:left w:val="single" w:color="auto" w:sz="4" w:space="0"/>
              <w:right w:val="single" w:color="auto" w:sz="4" w:space="0"/>
            </w:tcBorders>
            <w:vAlign w:val="center"/>
          </w:tcPr>
          <w:p w14:paraId="376572E1">
            <w:pPr>
              <w:spacing w:line="240" w:lineRule="auto"/>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GB 4806.7-2023</w:t>
            </w:r>
          </w:p>
        </w:tc>
        <w:tc>
          <w:tcPr>
            <w:tcW w:w="1515" w:type="pct"/>
            <w:tcBorders>
              <w:left w:val="single" w:color="auto" w:sz="4" w:space="0"/>
              <w:right w:val="single" w:color="auto" w:sz="4" w:space="0"/>
            </w:tcBorders>
            <w:vAlign w:val="center"/>
          </w:tcPr>
          <w:p w14:paraId="4E31E48B">
            <w:pPr>
              <w:spacing w:line="240" w:lineRule="auto"/>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GB 31604.12-2016</w:t>
            </w:r>
          </w:p>
        </w:tc>
      </w:tr>
      <w:tr w14:paraId="00FBE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3" w:type="pct"/>
            <w:tcBorders>
              <w:top w:val="single" w:color="auto" w:sz="4" w:space="0"/>
              <w:left w:val="single" w:color="auto" w:sz="4" w:space="0"/>
              <w:bottom w:val="single" w:color="auto" w:sz="4" w:space="0"/>
              <w:right w:val="single" w:color="auto" w:sz="4" w:space="0"/>
            </w:tcBorders>
            <w:vAlign w:val="center"/>
          </w:tcPr>
          <w:p w14:paraId="71B2A0DA">
            <w:pPr>
              <w:spacing w:line="240" w:lineRule="auto"/>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11</w:t>
            </w:r>
          </w:p>
        </w:tc>
        <w:tc>
          <w:tcPr>
            <w:tcW w:w="1655" w:type="pct"/>
            <w:tcBorders>
              <w:top w:val="single" w:color="auto" w:sz="4" w:space="0"/>
              <w:left w:val="single" w:color="auto" w:sz="4" w:space="0"/>
              <w:bottom w:val="single" w:color="auto" w:sz="4" w:space="0"/>
              <w:right w:val="single" w:color="auto" w:sz="4" w:space="0"/>
            </w:tcBorders>
            <w:vAlign w:val="center"/>
          </w:tcPr>
          <w:p w14:paraId="1D7668D7">
            <w:pPr>
              <w:spacing w:line="240" w:lineRule="auto"/>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双酚A迁移量（限P</w:t>
            </w:r>
            <w:r>
              <w:rPr>
                <w:rFonts w:hint="eastAsia" w:ascii="方正仿宋_GBK" w:hAnsi="方正仿宋_GBK" w:eastAsia="方正仿宋_GBK" w:cs="方正仿宋_GBK"/>
                <w:szCs w:val="21"/>
                <w:lang w:val="en-US" w:eastAsia="zh-CN"/>
              </w:rPr>
              <w:t>C</w:t>
            </w:r>
            <w:r>
              <w:rPr>
                <w:rFonts w:hint="eastAsia" w:ascii="方正仿宋_GBK" w:hAnsi="方正仿宋_GBK" w:eastAsia="方正仿宋_GBK" w:cs="方正仿宋_GBK"/>
                <w:szCs w:val="21"/>
              </w:rPr>
              <w:t>材质）</w:t>
            </w:r>
          </w:p>
        </w:tc>
        <w:tc>
          <w:tcPr>
            <w:tcW w:w="1394" w:type="pct"/>
            <w:tcBorders>
              <w:left w:val="single" w:color="auto" w:sz="4" w:space="0"/>
              <w:right w:val="single" w:color="auto" w:sz="4" w:space="0"/>
            </w:tcBorders>
            <w:vAlign w:val="center"/>
          </w:tcPr>
          <w:p w14:paraId="59045D44">
            <w:pPr>
              <w:spacing w:line="240" w:lineRule="auto"/>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GB 4806.7-2023</w:t>
            </w:r>
          </w:p>
        </w:tc>
        <w:tc>
          <w:tcPr>
            <w:tcW w:w="1515" w:type="pct"/>
            <w:tcBorders>
              <w:left w:val="single" w:color="auto" w:sz="4" w:space="0"/>
              <w:right w:val="single" w:color="auto" w:sz="4" w:space="0"/>
            </w:tcBorders>
            <w:vAlign w:val="center"/>
          </w:tcPr>
          <w:p w14:paraId="272F0245">
            <w:pPr>
              <w:spacing w:line="240" w:lineRule="auto"/>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GB 31604.10-2016</w:t>
            </w:r>
          </w:p>
        </w:tc>
      </w:tr>
      <w:tr w14:paraId="7FAED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3" w:type="pct"/>
            <w:tcBorders>
              <w:top w:val="single" w:color="auto" w:sz="4" w:space="0"/>
              <w:left w:val="single" w:color="auto" w:sz="4" w:space="0"/>
              <w:bottom w:val="single" w:color="auto" w:sz="4" w:space="0"/>
              <w:right w:val="single" w:color="auto" w:sz="4" w:space="0"/>
            </w:tcBorders>
            <w:vAlign w:val="center"/>
          </w:tcPr>
          <w:p w14:paraId="64A4010F">
            <w:pPr>
              <w:spacing w:line="240" w:lineRule="auto"/>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12</w:t>
            </w:r>
          </w:p>
        </w:tc>
        <w:tc>
          <w:tcPr>
            <w:tcW w:w="1655" w:type="pct"/>
            <w:tcBorders>
              <w:top w:val="single" w:color="auto" w:sz="4" w:space="0"/>
              <w:left w:val="single" w:color="auto" w:sz="4" w:space="0"/>
              <w:bottom w:val="single" w:color="auto" w:sz="4" w:space="0"/>
              <w:right w:val="single" w:color="auto" w:sz="4" w:space="0"/>
            </w:tcBorders>
            <w:vAlign w:val="center"/>
          </w:tcPr>
          <w:p w14:paraId="602BE8C4">
            <w:pPr>
              <w:spacing w:line="240" w:lineRule="auto"/>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丙烯腈迁移量（限</w:t>
            </w:r>
            <w:r>
              <w:rPr>
                <w:rFonts w:hint="eastAsia" w:ascii="方正仿宋_GBK" w:hAnsi="方正仿宋_GBK" w:eastAsia="方正仿宋_GBK" w:cs="方正仿宋_GBK"/>
                <w:szCs w:val="21"/>
                <w:lang w:val="en-US" w:eastAsia="zh-CN"/>
              </w:rPr>
              <w:t>ABS</w:t>
            </w:r>
            <w:r>
              <w:rPr>
                <w:rFonts w:hint="eastAsia" w:ascii="方正仿宋_GBK" w:hAnsi="方正仿宋_GBK" w:eastAsia="方正仿宋_GBK" w:cs="方正仿宋_GBK"/>
                <w:szCs w:val="21"/>
              </w:rPr>
              <w:t>材质）</w:t>
            </w:r>
          </w:p>
        </w:tc>
        <w:tc>
          <w:tcPr>
            <w:tcW w:w="1394" w:type="pct"/>
            <w:tcBorders>
              <w:left w:val="single" w:color="auto" w:sz="4" w:space="0"/>
              <w:right w:val="single" w:color="auto" w:sz="4" w:space="0"/>
            </w:tcBorders>
            <w:vAlign w:val="center"/>
          </w:tcPr>
          <w:p w14:paraId="09CAC916">
            <w:pPr>
              <w:spacing w:line="240" w:lineRule="auto"/>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GB 4806.7-2023</w:t>
            </w:r>
          </w:p>
        </w:tc>
        <w:tc>
          <w:tcPr>
            <w:tcW w:w="1515" w:type="pct"/>
            <w:tcBorders>
              <w:left w:val="single" w:color="auto" w:sz="4" w:space="0"/>
              <w:right w:val="single" w:color="auto" w:sz="4" w:space="0"/>
            </w:tcBorders>
            <w:vAlign w:val="center"/>
          </w:tcPr>
          <w:p w14:paraId="5236D816">
            <w:pPr>
              <w:spacing w:line="240" w:lineRule="auto"/>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GB 31604.17-2016</w:t>
            </w:r>
          </w:p>
        </w:tc>
      </w:tr>
      <w:tr w14:paraId="7CB0E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93" w:type="dxa"/>
            <w:tcBorders>
              <w:top w:val="single" w:color="auto" w:sz="4" w:space="0"/>
              <w:left w:val="single" w:color="auto" w:sz="4" w:space="0"/>
              <w:bottom w:val="single" w:color="auto" w:sz="4" w:space="0"/>
              <w:right w:val="single" w:color="auto" w:sz="4" w:space="0"/>
            </w:tcBorders>
            <w:vAlign w:val="center"/>
          </w:tcPr>
          <w:p w14:paraId="71D5B703">
            <w:pPr>
              <w:spacing w:line="240" w:lineRule="auto"/>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lang w:val="en-US" w:eastAsia="zh-CN"/>
              </w:rPr>
              <w:t>13</w:t>
            </w:r>
          </w:p>
        </w:tc>
        <w:tc>
          <w:tcPr>
            <w:tcW w:w="3027" w:type="dxa"/>
            <w:tcBorders>
              <w:top w:val="single" w:color="auto" w:sz="4" w:space="0"/>
              <w:left w:val="single" w:color="auto" w:sz="4" w:space="0"/>
              <w:bottom w:val="single" w:color="auto" w:sz="4" w:space="0"/>
              <w:right w:val="single" w:color="auto" w:sz="4" w:space="0"/>
            </w:tcBorders>
            <w:vAlign w:val="center"/>
          </w:tcPr>
          <w:p w14:paraId="5E0A4B7E">
            <w:pPr>
              <w:spacing w:line="240" w:lineRule="auto"/>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特定迁移总量（以己内酰胺计）（限PA材质）</w:t>
            </w:r>
          </w:p>
        </w:tc>
        <w:tc>
          <w:tcPr>
            <w:tcW w:w="2550" w:type="dxa"/>
            <w:tcBorders>
              <w:left w:val="single" w:color="auto" w:sz="4" w:space="0"/>
              <w:right w:val="single" w:color="auto" w:sz="4" w:space="0"/>
            </w:tcBorders>
            <w:vAlign w:val="center"/>
          </w:tcPr>
          <w:p w14:paraId="109A5B5E">
            <w:pPr>
              <w:spacing w:line="240" w:lineRule="auto"/>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GB 4806.7-2023</w:t>
            </w:r>
          </w:p>
        </w:tc>
        <w:tc>
          <w:tcPr>
            <w:tcW w:w="2770" w:type="dxa"/>
            <w:tcBorders>
              <w:left w:val="single" w:color="auto" w:sz="4" w:space="0"/>
              <w:right w:val="single" w:color="auto" w:sz="4" w:space="0"/>
            </w:tcBorders>
            <w:vAlign w:val="center"/>
          </w:tcPr>
          <w:p w14:paraId="0BAF5449">
            <w:pPr>
              <w:spacing w:line="240" w:lineRule="auto"/>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GB</w:t>
            </w:r>
            <w:r>
              <w:rPr>
                <w:rFonts w:hint="eastAsia" w:ascii="方正仿宋_GBK" w:hAnsi="方正仿宋_GBK" w:eastAsia="方正仿宋_GBK" w:cs="方正仿宋_GBK"/>
                <w:szCs w:val="21"/>
                <w:lang w:val="en-US" w:eastAsia="zh-CN"/>
              </w:rPr>
              <w:t xml:space="preserve"> </w:t>
            </w:r>
            <w:r>
              <w:rPr>
                <w:rFonts w:hint="eastAsia" w:ascii="方正仿宋_GBK" w:hAnsi="方正仿宋_GBK" w:eastAsia="方正仿宋_GBK" w:cs="方正仿宋_GBK"/>
                <w:szCs w:val="21"/>
              </w:rPr>
              <w:t>31604.19-2016</w:t>
            </w:r>
          </w:p>
        </w:tc>
      </w:tr>
      <w:tr w14:paraId="40F51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14:paraId="13FB2381">
            <w:pPr>
              <w:spacing w:line="240" w:lineRule="auto"/>
              <w:jc w:val="left"/>
              <w:rPr>
                <w:rFonts w:ascii="方正仿宋_GBK" w:hAnsi="方正仿宋_GBK" w:eastAsia="方正仿宋_GBK" w:cs="方正仿宋_GBK"/>
                <w:szCs w:val="21"/>
              </w:rPr>
            </w:pPr>
            <w:r>
              <w:rPr>
                <w:rFonts w:hint="eastAsia" w:ascii="方正仿宋_GBK" w:hAnsi="方正仿宋_GBK" w:eastAsia="方正仿宋_GBK" w:cs="方正仿宋_GBK"/>
                <w:szCs w:val="21"/>
              </w:rPr>
              <w:t>注：1.高锰酸钾消耗量不适用淀粉含量≥40%的淀粉基塑料材料及制品。</w:t>
            </w:r>
          </w:p>
          <w:p w14:paraId="4B22E606">
            <w:pPr>
              <w:spacing w:line="240" w:lineRule="auto"/>
              <w:jc w:val="left"/>
              <w:rPr>
                <w:rFonts w:ascii="方正仿宋_GBK" w:hAnsi="方正仿宋_GBK" w:eastAsia="方正仿宋_GBK" w:cs="方正仿宋_GBK"/>
                <w:szCs w:val="21"/>
              </w:rPr>
            </w:pPr>
            <w:r>
              <w:rPr>
                <w:rFonts w:hint="eastAsia" w:ascii="方正仿宋_GBK" w:hAnsi="方正仿宋_GBK" w:eastAsia="方正仿宋_GBK" w:cs="方正仿宋_GBK"/>
                <w:szCs w:val="21"/>
              </w:rPr>
              <w:t>2.芳香族伯胺迁移总量仅适用于且含有芳香族异氰酸酯和偶氮类着色剂等可能产生芳香族伯胺类物质的产品。</w:t>
            </w:r>
          </w:p>
          <w:p w14:paraId="37C7A08F">
            <w:pPr>
              <w:spacing w:line="240" w:lineRule="auto"/>
              <w:jc w:val="left"/>
              <w:rPr>
                <w:rFonts w:ascii="Times New Roman" w:hAnsi="Times New Roman" w:eastAsia="方正仿宋_GBK"/>
                <w:color w:val="000000"/>
                <w:sz w:val="24"/>
              </w:rPr>
            </w:pPr>
            <w:r>
              <w:rPr>
                <w:rFonts w:hint="eastAsia" w:ascii="方正仿宋_GBK" w:hAnsi="方正仿宋_GBK" w:eastAsia="方正仿宋_GBK" w:cs="方正仿宋_GBK"/>
                <w:szCs w:val="21"/>
              </w:rPr>
              <w:t>3. 脱色试验仅适用于添加了着色剂的产品。</w:t>
            </w:r>
          </w:p>
        </w:tc>
      </w:tr>
    </w:tbl>
    <w:p w14:paraId="77084193">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6A0F3E88">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4458A35F">
      <w:pPr>
        <w:spacing w:line="600" w:lineRule="exact"/>
        <w:ind w:firstLine="640" w:firstLineChars="200"/>
        <w:rPr>
          <w:rFonts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4.判定规则</w:t>
      </w:r>
    </w:p>
    <w:p w14:paraId="31AA2593">
      <w:pPr>
        <w:spacing w:line="580" w:lineRule="exact"/>
        <w:ind w:firstLine="643" w:firstLineChars="200"/>
        <w:rPr>
          <w:rFonts w:ascii="方正仿宋_GBK" w:hAnsi="方正仿宋_GBK" w:eastAsia="方正仿宋_GBK" w:cs="方正仿宋_GBK"/>
          <w:b/>
          <w:bCs/>
          <w:kern w:val="0"/>
          <w:sz w:val="32"/>
          <w:szCs w:val="32"/>
          <w:shd w:val="clear" w:color="auto" w:fill="FFFFFF"/>
          <w:lang w:bidi="ar"/>
        </w:rPr>
      </w:pPr>
      <w:r>
        <w:rPr>
          <w:rFonts w:hint="eastAsia" w:ascii="方正仿宋_GBK" w:hAnsi="方正仿宋_GBK" w:eastAsia="方正仿宋_GBK" w:cs="方正仿宋_GBK"/>
          <w:b/>
          <w:bCs/>
          <w:kern w:val="0"/>
          <w:sz w:val="32"/>
          <w:szCs w:val="32"/>
          <w:shd w:val="clear" w:color="auto" w:fill="FFFFFF"/>
          <w:lang w:bidi="ar"/>
        </w:rPr>
        <w:t>4.1依据标准</w:t>
      </w:r>
    </w:p>
    <w:p w14:paraId="5EB57339">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4806.7-2023《食品安全国家标准 食品接触用塑料材料及制品》</w:t>
      </w:r>
    </w:p>
    <w:p w14:paraId="25EF9329">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现行有效的企业标准、团体标准、地方标准及产品明示质量要求</w:t>
      </w:r>
    </w:p>
    <w:p w14:paraId="60C29317">
      <w:pPr>
        <w:spacing w:line="580" w:lineRule="exact"/>
        <w:ind w:firstLine="643" w:firstLineChars="200"/>
        <w:rPr>
          <w:rFonts w:ascii="方正仿宋_GBK" w:hAnsi="方正仿宋_GBK" w:eastAsia="方正仿宋_GBK" w:cs="方正仿宋_GBK"/>
          <w:b/>
          <w:bCs/>
          <w:kern w:val="0"/>
          <w:sz w:val="32"/>
          <w:szCs w:val="32"/>
          <w:shd w:val="clear" w:color="auto" w:fill="FFFFFF"/>
          <w:lang w:bidi="ar"/>
        </w:rPr>
      </w:pPr>
      <w:r>
        <w:rPr>
          <w:rFonts w:hint="eastAsia" w:ascii="方正仿宋_GBK" w:hAnsi="方正仿宋_GBK" w:eastAsia="方正仿宋_GBK" w:cs="方正仿宋_GBK"/>
          <w:b/>
          <w:bCs/>
          <w:kern w:val="0"/>
          <w:sz w:val="32"/>
          <w:szCs w:val="32"/>
          <w:shd w:val="clear" w:color="auto" w:fill="FFFFFF"/>
          <w:lang w:bidi="ar"/>
        </w:rPr>
        <w:t>4.2判定原则</w:t>
      </w:r>
    </w:p>
    <w:p w14:paraId="1754225D">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经检验，检验项目全部合格，判定为被抽查产品未发现不合格；检验项目中任一项或一项以上不合格，判定为被抽查产品不合格。</w:t>
      </w:r>
    </w:p>
    <w:p w14:paraId="494D17F9">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2AE517A4">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0AC3DFA8">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13AA4F2B">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51A0338E">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77374466">
      <w:pPr>
        <w:spacing w:line="600" w:lineRule="exact"/>
        <w:ind w:firstLine="640" w:firstLineChars="200"/>
        <w:rPr>
          <w:rFonts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5.异议处理</w:t>
      </w:r>
    </w:p>
    <w:p w14:paraId="73BDC969">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14:paraId="18C7F921">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7FF67E22">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sectPr>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331C7C82-B4E1-4750-9E11-199A05C6BE9B}"/>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方正小标宋_GBK">
    <w:panose1 w:val="02000000000000000000"/>
    <w:charset w:val="86"/>
    <w:family w:val="auto"/>
    <w:pitch w:val="default"/>
    <w:sig w:usb0="A00002BF" w:usb1="38CF7CFA" w:usb2="00082016" w:usb3="00000000" w:csb0="00040001" w:csb1="00000000"/>
    <w:embedRegular r:id="rId2" w:fontKey="{DF545531-3E99-497B-BB19-AFC817386E37}"/>
  </w:font>
  <w:font w:name="方正黑体_GBK">
    <w:panose1 w:val="03000509000000000000"/>
    <w:charset w:val="86"/>
    <w:family w:val="script"/>
    <w:pitch w:val="default"/>
    <w:sig w:usb0="00000001" w:usb1="080E0000" w:usb2="00000000" w:usb3="00000000" w:csb0="00040000" w:csb1="00000000"/>
    <w:embedRegular r:id="rId3" w:fontKey="{96462399-3F4F-4ACE-8601-FAA560900721}"/>
  </w:font>
  <w:font w:name="方正仿宋_GBK">
    <w:panose1 w:val="02000000000000000000"/>
    <w:charset w:val="86"/>
    <w:family w:val="script"/>
    <w:pitch w:val="default"/>
    <w:sig w:usb0="A00002BF" w:usb1="38CF7CFA" w:usb2="00082016" w:usb3="00000000" w:csb0="00040001" w:csb1="00000000"/>
    <w:embedRegular r:id="rId4" w:fontKey="{2DF460DB-6F88-456F-BB91-80D34243C11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IzODVkOTIyMWE1ZDY4MWU5NWM2ZDdkN2M5ZTIxZjgifQ=="/>
  </w:docVars>
  <w:rsids>
    <w:rsidRoot w:val="00B23319"/>
    <w:rsid w:val="0001130B"/>
    <w:rsid w:val="00012E7D"/>
    <w:rsid w:val="0002244E"/>
    <w:rsid w:val="00030067"/>
    <w:rsid w:val="00030FC7"/>
    <w:rsid w:val="00041807"/>
    <w:rsid w:val="0004210C"/>
    <w:rsid w:val="00046ACB"/>
    <w:rsid w:val="00054A03"/>
    <w:rsid w:val="000607FF"/>
    <w:rsid w:val="00062664"/>
    <w:rsid w:val="00063F1E"/>
    <w:rsid w:val="0006746D"/>
    <w:rsid w:val="00067F88"/>
    <w:rsid w:val="00072AAC"/>
    <w:rsid w:val="00076376"/>
    <w:rsid w:val="00086D33"/>
    <w:rsid w:val="00094AB9"/>
    <w:rsid w:val="000A01F1"/>
    <w:rsid w:val="000A22D6"/>
    <w:rsid w:val="000B45BF"/>
    <w:rsid w:val="000C46FA"/>
    <w:rsid w:val="000C69BA"/>
    <w:rsid w:val="000E28CD"/>
    <w:rsid w:val="000F0C7B"/>
    <w:rsid w:val="00117886"/>
    <w:rsid w:val="00127D80"/>
    <w:rsid w:val="00127E6B"/>
    <w:rsid w:val="00131787"/>
    <w:rsid w:val="001331D2"/>
    <w:rsid w:val="00134B9F"/>
    <w:rsid w:val="001361E2"/>
    <w:rsid w:val="00136EFA"/>
    <w:rsid w:val="00145921"/>
    <w:rsid w:val="00152358"/>
    <w:rsid w:val="0017102F"/>
    <w:rsid w:val="00172F78"/>
    <w:rsid w:val="00176623"/>
    <w:rsid w:val="0018019D"/>
    <w:rsid w:val="00184632"/>
    <w:rsid w:val="0019108D"/>
    <w:rsid w:val="00191944"/>
    <w:rsid w:val="00192377"/>
    <w:rsid w:val="001B5C4F"/>
    <w:rsid w:val="001D1E1F"/>
    <w:rsid w:val="001D4265"/>
    <w:rsid w:val="001D573A"/>
    <w:rsid w:val="001E0CBE"/>
    <w:rsid w:val="001E2538"/>
    <w:rsid w:val="001E2957"/>
    <w:rsid w:val="001F37AD"/>
    <w:rsid w:val="00202098"/>
    <w:rsid w:val="00210E02"/>
    <w:rsid w:val="00211183"/>
    <w:rsid w:val="0021479A"/>
    <w:rsid w:val="00214889"/>
    <w:rsid w:val="002216BE"/>
    <w:rsid w:val="00223089"/>
    <w:rsid w:val="002316AD"/>
    <w:rsid w:val="002328AB"/>
    <w:rsid w:val="002426A3"/>
    <w:rsid w:val="0025037B"/>
    <w:rsid w:val="00252341"/>
    <w:rsid w:val="0026236F"/>
    <w:rsid w:val="0026368E"/>
    <w:rsid w:val="00270494"/>
    <w:rsid w:val="00282FA6"/>
    <w:rsid w:val="0028328A"/>
    <w:rsid w:val="002B6690"/>
    <w:rsid w:val="002C194B"/>
    <w:rsid w:val="002C1983"/>
    <w:rsid w:val="002D171E"/>
    <w:rsid w:val="002D1E2B"/>
    <w:rsid w:val="002D4B27"/>
    <w:rsid w:val="0031024B"/>
    <w:rsid w:val="0031094B"/>
    <w:rsid w:val="00323B78"/>
    <w:rsid w:val="00330047"/>
    <w:rsid w:val="00335B99"/>
    <w:rsid w:val="00341E80"/>
    <w:rsid w:val="0035079C"/>
    <w:rsid w:val="00356C4B"/>
    <w:rsid w:val="003575C3"/>
    <w:rsid w:val="003656B5"/>
    <w:rsid w:val="00384FD0"/>
    <w:rsid w:val="00391F14"/>
    <w:rsid w:val="003936D8"/>
    <w:rsid w:val="003A2DF8"/>
    <w:rsid w:val="003A351C"/>
    <w:rsid w:val="003A57CE"/>
    <w:rsid w:val="003C1F18"/>
    <w:rsid w:val="003D28D3"/>
    <w:rsid w:val="003E56A2"/>
    <w:rsid w:val="003F3213"/>
    <w:rsid w:val="003F7F67"/>
    <w:rsid w:val="00416425"/>
    <w:rsid w:val="004312D6"/>
    <w:rsid w:val="00434879"/>
    <w:rsid w:val="00436027"/>
    <w:rsid w:val="00446525"/>
    <w:rsid w:val="0045292F"/>
    <w:rsid w:val="00452A6F"/>
    <w:rsid w:val="004550E4"/>
    <w:rsid w:val="004574F0"/>
    <w:rsid w:val="00457CB9"/>
    <w:rsid w:val="00460692"/>
    <w:rsid w:val="004638DB"/>
    <w:rsid w:val="00466033"/>
    <w:rsid w:val="00482674"/>
    <w:rsid w:val="00486BD9"/>
    <w:rsid w:val="00486F04"/>
    <w:rsid w:val="004907A3"/>
    <w:rsid w:val="00492452"/>
    <w:rsid w:val="004A3289"/>
    <w:rsid w:val="004B722A"/>
    <w:rsid w:val="004C1FB2"/>
    <w:rsid w:val="004D2E64"/>
    <w:rsid w:val="00521A71"/>
    <w:rsid w:val="00525B6D"/>
    <w:rsid w:val="00535F85"/>
    <w:rsid w:val="00537C80"/>
    <w:rsid w:val="005433A0"/>
    <w:rsid w:val="00552CE9"/>
    <w:rsid w:val="00553599"/>
    <w:rsid w:val="005579D8"/>
    <w:rsid w:val="00557E0B"/>
    <w:rsid w:val="005653F3"/>
    <w:rsid w:val="00567E85"/>
    <w:rsid w:val="005743B4"/>
    <w:rsid w:val="005758F0"/>
    <w:rsid w:val="00580258"/>
    <w:rsid w:val="00581383"/>
    <w:rsid w:val="00592F1E"/>
    <w:rsid w:val="005953F6"/>
    <w:rsid w:val="005A3B63"/>
    <w:rsid w:val="005B4050"/>
    <w:rsid w:val="005C0BFD"/>
    <w:rsid w:val="005C71C4"/>
    <w:rsid w:val="005E06BA"/>
    <w:rsid w:val="005E3523"/>
    <w:rsid w:val="005E4765"/>
    <w:rsid w:val="005E4D8D"/>
    <w:rsid w:val="006017C0"/>
    <w:rsid w:val="00602BFE"/>
    <w:rsid w:val="00607DC1"/>
    <w:rsid w:val="00610A6A"/>
    <w:rsid w:val="0061344B"/>
    <w:rsid w:val="00626AD4"/>
    <w:rsid w:val="006361EE"/>
    <w:rsid w:val="00640709"/>
    <w:rsid w:val="00641131"/>
    <w:rsid w:val="00651C73"/>
    <w:rsid w:val="006538E9"/>
    <w:rsid w:val="0067557E"/>
    <w:rsid w:val="006812CD"/>
    <w:rsid w:val="006844EA"/>
    <w:rsid w:val="00685DA2"/>
    <w:rsid w:val="0068716B"/>
    <w:rsid w:val="006909E2"/>
    <w:rsid w:val="006A2161"/>
    <w:rsid w:val="006A6E27"/>
    <w:rsid w:val="006A7525"/>
    <w:rsid w:val="006B7F21"/>
    <w:rsid w:val="006C019C"/>
    <w:rsid w:val="006D188D"/>
    <w:rsid w:val="006D4694"/>
    <w:rsid w:val="006D60CF"/>
    <w:rsid w:val="006E1245"/>
    <w:rsid w:val="006F6A29"/>
    <w:rsid w:val="006F7E16"/>
    <w:rsid w:val="0070590B"/>
    <w:rsid w:val="0070673A"/>
    <w:rsid w:val="0071192F"/>
    <w:rsid w:val="00713D13"/>
    <w:rsid w:val="00714032"/>
    <w:rsid w:val="007225D8"/>
    <w:rsid w:val="00723BDE"/>
    <w:rsid w:val="00724FD8"/>
    <w:rsid w:val="00727624"/>
    <w:rsid w:val="00737577"/>
    <w:rsid w:val="00747916"/>
    <w:rsid w:val="007513DB"/>
    <w:rsid w:val="00771677"/>
    <w:rsid w:val="007812FC"/>
    <w:rsid w:val="00781A96"/>
    <w:rsid w:val="00785C89"/>
    <w:rsid w:val="007916D5"/>
    <w:rsid w:val="00791FF2"/>
    <w:rsid w:val="007A2F04"/>
    <w:rsid w:val="007A3D31"/>
    <w:rsid w:val="007C2D64"/>
    <w:rsid w:val="007D0F61"/>
    <w:rsid w:val="007D2F7C"/>
    <w:rsid w:val="007D59FD"/>
    <w:rsid w:val="007D6664"/>
    <w:rsid w:val="007E30C2"/>
    <w:rsid w:val="007F544A"/>
    <w:rsid w:val="008125A1"/>
    <w:rsid w:val="008175E3"/>
    <w:rsid w:val="00825D64"/>
    <w:rsid w:val="00827D95"/>
    <w:rsid w:val="00836118"/>
    <w:rsid w:val="00837AFB"/>
    <w:rsid w:val="00845D00"/>
    <w:rsid w:val="0085178A"/>
    <w:rsid w:val="00856FC0"/>
    <w:rsid w:val="00873CEB"/>
    <w:rsid w:val="008767BE"/>
    <w:rsid w:val="00885003"/>
    <w:rsid w:val="00887355"/>
    <w:rsid w:val="00894EC2"/>
    <w:rsid w:val="0089545E"/>
    <w:rsid w:val="008976ED"/>
    <w:rsid w:val="008C62D3"/>
    <w:rsid w:val="008D0104"/>
    <w:rsid w:val="008D22C0"/>
    <w:rsid w:val="008E0704"/>
    <w:rsid w:val="008E788F"/>
    <w:rsid w:val="0090547C"/>
    <w:rsid w:val="00906501"/>
    <w:rsid w:val="00911B05"/>
    <w:rsid w:val="00920AD2"/>
    <w:rsid w:val="009309F7"/>
    <w:rsid w:val="009327B9"/>
    <w:rsid w:val="0093483D"/>
    <w:rsid w:val="00941390"/>
    <w:rsid w:val="00944B01"/>
    <w:rsid w:val="0094619E"/>
    <w:rsid w:val="00946DA2"/>
    <w:rsid w:val="00950A37"/>
    <w:rsid w:val="0095391B"/>
    <w:rsid w:val="00956C7E"/>
    <w:rsid w:val="0095704C"/>
    <w:rsid w:val="00960C2C"/>
    <w:rsid w:val="00961FB4"/>
    <w:rsid w:val="009622EA"/>
    <w:rsid w:val="009700DE"/>
    <w:rsid w:val="009708C6"/>
    <w:rsid w:val="00971D5E"/>
    <w:rsid w:val="0097577C"/>
    <w:rsid w:val="009803A1"/>
    <w:rsid w:val="00981501"/>
    <w:rsid w:val="0098489E"/>
    <w:rsid w:val="00986116"/>
    <w:rsid w:val="009945AB"/>
    <w:rsid w:val="00996C6C"/>
    <w:rsid w:val="009A4B42"/>
    <w:rsid w:val="009A51EE"/>
    <w:rsid w:val="009B281B"/>
    <w:rsid w:val="009B286D"/>
    <w:rsid w:val="009B30EB"/>
    <w:rsid w:val="009C33E7"/>
    <w:rsid w:val="009D04F0"/>
    <w:rsid w:val="009D1F66"/>
    <w:rsid w:val="009D4C29"/>
    <w:rsid w:val="009E13EF"/>
    <w:rsid w:val="009F570E"/>
    <w:rsid w:val="00A00C69"/>
    <w:rsid w:val="00A23E55"/>
    <w:rsid w:val="00A34FE5"/>
    <w:rsid w:val="00A35C5D"/>
    <w:rsid w:val="00A40F2C"/>
    <w:rsid w:val="00A5051A"/>
    <w:rsid w:val="00A81E4D"/>
    <w:rsid w:val="00A85146"/>
    <w:rsid w:val="00A91BE3"/>
    <w:rsid w:val="00AA61A4"/>
    <w:rsid w:val="00AB2A2A"/>
    <w:rsid w:val="00AB4E2D"/>
    <w:rsid w:val="00AB75DF"/>
    <w:rsid w:val="00AB7A8D"/>
    <w:rsid w:val="00AB7AAB"/>
    <w:rsid w:val="00AD05AC"/>
    <w:rsid w:val="00AD76F5"/>
    <w:rsid w:val="00AE1EFC"/>
    <w:rsid w:val="00AE32F2"/>
    <w:rsid w:val="00AF64D5"/>
    <w:rsid w:val="00B061D5"/>
    <w:rsid w:val="00B11192"/>
    <w:rsid w:val="00B143B9"/>
    <w:rsid w:val="00B148B2"/>
    <w:rsid w:val="00B17B71"/>
    <w:rsid w:val="00B205EA"/>
    <w:rsid w:val="00B20E1F"/>
    <w:rsid w:val="00B23319"/>
    <w:rsid w:val="00B35AFF"/>
    <w:rsid w:val="00B41EE8"/>
    <w:rsid w:val="00B43E44"/>
    <w:rsid w:val="00B60FE2"/>
    <w:rsid w:val="00B6292E"/>
    <w:rsid w:val="00B63EDE"/>
    <w:rsid w:val="00B64965"/>
    <w:rsid w:val="00B75427"/>
    <w:rsid w:val="00B75878"/>
    <w:rsid w:val="00B8300A"/>
    <w:rsid w:val="00B970C1"/>
    <w:rsid w:val="00B978B8"/>
    <w:rsid w:val="00BB5B74"/>
    <w:rsid w:val="00BE73B8"/>
    <w:rsid w:val="00BF6E4B"/>
    <w:rsid w:val="00C10D63"/>
    <w:rsid w:val="00C152A4"/>
    <w:rsid w:val="00C2380B"/>
    <w:rsid w:val="00C26DF9"/>
    <w:rsid w:val="00C32493"/>
    <w:rsid w:val="00C35EE3"/>
    <w:rsid w:val="00C5064B"/>
    <w:rsid w:val="00C50E12"/>
    <w:rsid w:val="00C56445"/>
    <w:rsid w:val="00C606CA"/>
    <w:rsid w:val="00C630B8"/>
    <w:rsid w:val="00C63986"/>
    <w:rsid w:val="00C65F3B"/>
    <w:rsid w:val="00C6632F"/>
    <w:rsid w:val="00C66E77"/>
    <w:rsid w:val="00C729E0"/>
    <w:rsid w:val="00C76479"/>
    <w:rsid w:val="00C81BDA"/>
    <w:rsid w:val="00C86069"/>
    <w:rsid w:val="00C87AA0"/>
    <w:rsid w:val="00C9481E"/>
    <w:rsid w:val="00CA2460"/>
    <w:rsid w:val="00CA5F16"/>
    <w:rsid w:val="00CB1737"/>
    <w:rsid w:val="00CB546B"/>
    <w:rsid w:val="00CC4233"/>
    <w:rsid w:val="00CC4784"/>
    <w:rsid w:val="00CC6522"/>
    <w:rsid w:val="00CD4CA2"/>
    <w:rsid w:val="00CE2BA0"/>
    <w:rsid w:val="00CE391D"/>
    <w:rsid w:val="00CE6DB4"/>
    <w:rsid w:val="00D01FC2"/>
    <w:rsid w:val="00D06BC8"/>
    <w:rsid w:val="00D10F37"/>
    <w:rsid w:val="00D22721"/>
    <w:rsid w:val="00D34E28"/>
    <w:rsid w:val="00D351FB"/>
    <w:rsid w:val="00D35ED2"/>
    <w:rsid w:val="00D367BD"/>
    <w:rsid w:val="00D43255"/>
    <w:rsid w:val="00D5292A"/>
    <w:rsid w:val="00D536EB"/>
    <w:rsid w:val="00D624F0"/>
    <w:rsid w:val="00D71785"/>
    <w:rsid w:val="00D74CD7"/>
    <w:rsid w:val="00DA5336"/>
    <w:rsid w:val="00DA6AE4"/>
    <w:rsid w:val="00DB7FAC"/>
    <w:rsid w:val="00DD3A7E"/>
    <w:rsid w:val="00DE58E1"/>
    <w:rsid w:val="00E20638"/>
    <w:rsid w:val="00E20692"/>
    <w:rsid w:val="00E23958"/>
    <w:rsid w:val="00E23FB4"/>
    <w:rsid w:val="00E272CE"/>
    <w:rsid w:val="00E30472"/>
    <w:rsid w:val="00E371C4"/>
    <w:rsid w:val="00E40176"/>
    <w:rsid w:val="00E518C3"/>
    <w:rsid w:val="00E53A97"/>
    <w:rsid w:val="00E54496"/>
    <w:rsid w:val="00E5522B"/>
    <w:rsid w:val="00E74E6E"/>
    <w:rsid w:val="00E8032B"/>
    <w:rsid w:val="00E83123"/>
    <w:rsid w:val="00E85536"/>
    <w:rsid w:val="00E93A64"/>
    <w:rsid w:val="00E96E83"/>
    <w:rsid w:val="00EA13D3"/>
    <w:rsid w:val="00EA1924"/>
    <w:rsid w:val="00EB00C7"/>
    <w:rsid w:val="00EB165D"/>
    <w:rsid w:val="00EC67EF"/>
    <w:rsid w:val="00ED1224"/>
    <w:rsid w:val="00EE2AA1"/>
    <w:rsid w:val="00EF3407"/>
    <w:rsid w:val="00EF5F33"/>
    <w:rsid w:val="00F10D0A"/>
    <w:rsid w:val="00F10DCD"/>
    <w:rsid w:val="00F14F1F"/>
    <w:rsid w:val="00F16DF8"/>
    <w:rsid w:val="00F20A60"/>
    <w:rsid w:val="00F21761"/>
    <w:rsid w:val="00F24352"/>
    <w:rsid w:val="00F269EA"/>
    <w:rsid w:val="00F336AB"/>
    <w:rsid w:val="00F46320"/>
    <w:rsid w:val="00F64190"/>
    <w:rsid w:val="00F66574"/>
    <w:rsid w:val="00F71EF0"/>
    <w:rsid w:val="00F7417F"/>
    <w:rsid w:val="00F964CB"/>
    <w:rsid w:val="00F97C2E"/>
    <w:rsid w:val="00FA1644"/>
    <w:rsid w:val="00FB4044"/>
    <w:rsid w:val="00FB491F"/>
    <w:rsid w:val="00FB4A92"/>
    <w:rsid w:val="00FB76A5"/>
    <w:rsid w:val="00FC55FE"/>
    <w:rsid w:val="00FC5A64"/>
    <w:rsid w:val="00FE12A1"/>
    <w:rsid w:val="00FF0ECF"/>
    <w:rsid w:val="00FF2EF5"/>
    <w:rsid w:val="00FF6D5D"/>
    <w:rsid w:val="01625B0A"/>
    <w:rsid w:val="016533AB"/>
    <w:rsid w:val="017066A4"/>
    <w:rsid w:val="01AF66F5"/>
    <w:rsid w:val="01D733CC"/>
    <w:rsid w:val="01ED3C51"/>
    <w:rsid w:val="020A50C9"/>
    <w:rsid w:val="02693A80"/>
    <w:rsid w:val="02B37899"/>
    <w:rsid w:val="02BB77E4"/>
    <w:rsid w:val="03776577"/>
    <w:rsid w:val="04205B7A"/>
    <w:rsid w:val="04C6640E"/>
    <w:rsid w:val="04E162DB"/>
    <w:rsid w:val="056836DC"/>
    <w:rsid w:val="056B55C9"/>
    <w:rsid w:val="057847EE"/>
    <w:rsid w:val="06063852"/>
    <w:rsid w:val="065C6843"/>
    <w:rsid w:val="06DA5E26"/>
    <w:rsid w:val="07103966"/>
    <w:rsid w:val="0806125E"/>
    <w:rsid w:val="08414162"/>
    <w:rsid w:val="095538B5"/>
    <w:rsid w:val="0A0D1476"/>
    <w:rsid w:val="0A1237A0"/>
    <w:rsid w:val="0A721AE4"/>
    <w:rsid w:val="0AB55C23"/>
    <w:rsid w:val="0B0D6838"/>
    <w:rsid w:val="0B7E733B"/>
    <w:rsid w:val="0BB258C6"/>
    <w:rsid w:val="0BBF0845"/>
    <w:rsid w:val="0C300AF9"/>
    <w:rsid w:val="0E916078"/>
    <w:rsid w:val="0EDD5800"/>
    <w:rsid w:val="10356DF2"/>
    <w:rsid w:val="108D33E7"/>
    <w:rsid w:val="10EE044E"/>
    <w:rsid w:val="11A05BB5"/>
    <w:rsid w:val="11CA7BFF"/>
    <w:rsid w:val="120141FC"/>
    <w:rsid w:val="12197CB0"/>
    <w:rsid w:val="121B5F5C"/>
    <w:rsid w:val="12480A15"/>
    <w:rsid w:val="12F93CA3"/>
    <w:rsid w:val="137A6790"/>
    <w:rsid w:val="13BB0BE6"/>
    <w:rsid w:val="14987A16"/>
    <w:rsid w:val="149B6BF0"/>
    <w:rsid w:val="14E1570A"/>
    <w:rsid w:val="151E6C0C"/>
    <w:rsid w:val="15705885"/>
    <w:rsid w:val="15A93B45"/>
    <w:rsid w:val="1670520E"/>
    <w:rsid w:val="16F11C88"/>
    <w:rsid w:val="1802336E"/>
    <w:rsid w:val="183660B4"/>
    <w:rsid w:val="18856C25"/>
    <w:rsid w:val="196435A3"/>
    <w:rsid w:val="19E21628"/>
    <w:rsid w:val="1A7A7A29"/>
    <w:rsid w:val="1A7B7DF9"/>
    <w:rsid w:val="1B7E5CCF"/>
    <w:rsid w:val="1B925356"/>
    <w:rsid w:val="1B9B174A"/>
    <w:rsid w:val="1BD20A61"/>
    <w:rsid w:val="1C0F7B0E"/>
    <w:rsid w:val="1C2472F6"/>
    <w:rsid w:val="1C2B02C8"/>
    <w:rsid w:val="1C5965DD"/>
    <w:rsid w:val="1DC51EE2"/>
    <w:rsid w:val="1DF42E4D"/>
    <w:rsid w:val="1E993A75"/>
    <w:rsid w:val="1EA76EE9"/>
    <w:rsid w:val="1EF062B0"/>
    <w:rsid w:val="1F62074F"/>
    <w:rsid w:val="1F9066AC"/>
    <w:rsid w:val="1F9D2C03"/>
    <w:rsid w:val="1FD1349E"/>
    <w:rsid w:val="20717A70"/>
    <w:rsid w:val="20D32E77"/>
    <w:rsid w:val="21014B41"/>
    <w:rsid w:val="2128584D"/>
    <w:rsid w:val="216270A9"/>
    <w:rsid w:val="21B324AE"/>
    <w:rsid w:val="21E41646"/>
    <w:rsid w:val="229175B6"/>
    <w:rsid w:val="22947508"/>
    <w:rsid w:val="22F96045"/>
    <w:rsid w:val="235B4756"/>
    <w:rsid w:val="23E95402"/>
    <w:rsid w:val="2419770F"/>
    <w:rsid w:val="242E6377"/>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796611"/>
    <w:rsid w:val="2ADC0CAD"/>
    <w:rsid w:val="2B47788F"/>
    <w:rsid w:val="2B85488A"/>
    <w:rsid w:val="2BCB1A43"/>
    <w:rsid w:val="2CE10710"/>
    <w:rsid w:val="2CE85F5A"/>
    <w:rsid w:val="2D7E3D18"/>
    <w:rsid w:val="2DDD3326"/>
    <w:rsid w:val="2F45627A"/>
    <w:rsid w:val="2F6949FE"/>
    <w:rsid w:val="2FB87DE1"/>
    <w:rsid w:val="2FBC2248"/>
    <w:rsid w:val="2FEC59DE"/>
    <w:rsid w:val="303A6BC9"/>
    <w:rsid w:val="31607A94"/>
    <w:rsid w:val="31C50242"/>
    <w:rsid w:val="320A7897"/>
    <w:rsid w:val="325469A5"/>
    <w:rsid w:val="326B5648"/>
    <w:rsid w:val="32975988"/>
    <w:rsid w:val="32F44C3D"/>
    <w:rsid w:val="34D668DD"/>
    <w:rsid w:val="354B0A39"/>
    <w:rsid w:val="35640483"/>
    <w:rsid w:val="3576772B"/>
    <w:rsid w:val="35CB55CA"/>
    <w:rsid w:val="35D858AF"/>
    <w:rsid w:val="35DF2F12"/>
    <w:rsid w:val="36116D7F"/>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563907"/>
    <w:rsid w:val="3C927782"/>
    <w:rsid w:val="3CDB3B76"/>
    <w:rsid w:val="3CE339D8"/>
    <w:rsid w:val="3D18652D"/>
    <w:rsid w:val="3D90447A"/>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8863E0A"/>
    <w:rsid w:val="490833CF"/>
    <w:rsid w:val="49347B05"/>
    <w:rsid w:val="49704E95"/>
    <w:rsid w:val="49D4419C"/>
    <w:rsid w:val="49F77EC3"/>
    <w:rsid w:val="4A061877"/>
    <w:rsid w:val="4A7529A2"/>
    <w:rsid w:val="4A7A7564"/>
    <w:rsid w:val="4AE616BD"/>
    <w:rsid w:val="4AFB0A4E"/>
    <w:rsid w:val="4B7747AD"/>
    <w:rsid w:val="4BD425F4"/>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816145"/>
    <w:rsid w:val="528C7FEF"/>
    <w:rsid w:val="53354E63"/>
    <w:rsid w:val="538F1A33"/>
    <w:rsid w:val="539861E6"/>
    <w:rsid w:val="53B31126"/>
    <w:rsid w:val="542D7F38"/>
    <w:rsid w:val="54633D11"/>
    <w:rsid w:val="54661FE4"/>
    <w:rsid w:val="54A554B9"/>
    <w:rsid w:val="55142EB5"/>
    <w:rsid w:val="56FB1310"/>
    <w:rsid w:val="57E35225"/>
    <w:rsid w:val="57F36F9A"/>
    <w:rsid w:val="58243433"/>
    <w:rsid w:val="5834492C"/>
    <w:rsid w:val="583771DE"/>
    <w:rsid w:val="58B8154B"/>
    <w:rsid w:val="58B84658"/>
    <w:rsid w:val="590234F2"/>
    <w:rsid w:val="594A04F0"/>
    <w:rsid w:val="597A213B"/>
    <w:rsid w:val="59920975"/>
    <w:rsid w:val="59B3074A"/>
    <w:rsid w:val="59BB4699"/>
    <w:rsid w:val="5A283D64"/>
    <w:rsid w:val="5A4022F8"/>
    <w:rsid w:val="5AFA12CC"/>
    <w:rsid w:val="5B0603A1"/>
    <w:rsid w:val="5B775815"/>
    <w:rsid w:val="5BC83D82"/>
    <w:rsid w:val="5BDB7A2A"/>
    <w:rsid w:val="5C1C6367"/>
    <w:rsid w:val="5C6C2081"/>
    <w:rsid w:val="5C913A01"/>
    <w:rsid w:val="5CE9053B"/>
    <w:rsid w:val="5E3A104D"/>
    <w:rsid w:val="5E74240F"/>
    <w:rsid w:val="5E904A7B"/>
    <w:rsid w:val="5EF86DE5"/>
    <w:rsid w:val="5F092E3E"/>
    <w:rsid w:val="60582906"/>
    <w:rsid w:val="607D3E4C"/>
    <w:rsid w:val="608D41D9"/>
    <w:rsid w:val="60C33095"/>
    <w:rsid w:val="6106763F"/>
    <w:rsid w:val="6185683E"/>
    <w:rsid w:val="62563D7B"/>
    <w:rsid w:val="63021BA8"/>
    <w:rsid w:val="63074E55"/>
    <w:rsid w:val="630A243D"/>
    <w:rsid w:val="640E4E21"/>
    <w:rsid w:val="642D5E74"/>
    <w:rsid w:val="647C2EF6"/>
    <w:rsid w:val="648A7D50"/>
    <w:rsid w:val="648F40E9"/>
    <w:rsid w:val="64BB14E6"/>
    <w:rsid w:val="64C47C99"/>
    <w:rsid w:val="64D97F88"/>
    <w:rsid w:val="65682C45"/>
    <w:rsid w:val="65846AED"/>
    <w:rsid w:val="65E372CD"/>
    <w:rsid w:val="66277C26"/>
    <w:rsid w:val="66294AE5"/>
    <w:rsid w:val="67A72BC4"/>
    <w:rsid w:val="68906B4E"/>
    <w:rsid w:val="68A9143F"/>
    <w:rsid w:val="698E36B9"/>
    <w:rsid w:val="69B707BE"/>
    <w:rsid w:val="69C278A6"/>
    <w:rsid w:val="69C51212"/>
    <w:rsid w:val="6A08309F"/>
    <w:rsid w:val="6A6B6D42"/>
    <w:rsid w:val="6AB447A0"/>
    <w:rsid w:val="6AC6674A"/>
    <w:rsid w:val="6B1D2762"/>
    <w:rsid w:val="6B47787C"/>
    <w:rsid w:val="6B4A24D7"/>
    <w:rsid w:val="6BF41341"/>
    <w:rsid w:val="6CC51FBB"/>
    <w:rsid w:val="6CF4451F"/>
    <w:rsid w:val="6D350EDC"/>
    <w:rsid w:val="6D7672B6"/>
    <w:rsid w:val="6DA325F9"/>
    <w:rsid w:val="6DCD6F07"/>
    <w:rsid w:val="6E2B0937"/>
    <w:rsid w:val="6F075254"/>
    <w:rsid w:val="6F554AEA"/>
    <w:rsid w:val="6F9540E9"/>
    <w:rsid w:val="6FF769AA"/>
    <w:rsid w:val="701B1493"/>
    <w:rsid w:val="705F69D3"/>
    <w:rsid w:val="7067206D"/>
    <w:rsid w:val="714535C5"/>
    <w:rsid w:val="71FC0FB1"/>
    <w:rsid w:val="72616F80"/>
    <w:rsid w:val="72F2089E"/>
    <w:rsid w:val="734350A8"/>
    <w:rsid w:val="735B235F"/>
    <w:rsid w:val="73B44D96"/>
    <w:rsid w:val="745463AC"/>
    <w:rsid w:val="74B04505"/>
    <w:rsid w:val="75430823"/>
    <w:rsid w:val="7567100D"/>
    <w:rsid w:val="760C033F"/>
    <w:rsid w:val="76131F66"/>
    <w:rsid w:val="76264BB4"/>
    <w:rsid w:val="762C03C6"/>
    <w:rsid w:val="77573C5D"/>
    <w:rsid w:val="77604877"/>
    <w:rsid w:val="778D6ACB"/>
    <w:rsid w:val="77EF201B"/>
    <w:rsid w:val="781F55FF"/>
    <w:rsid w:val="78760398"/>
    <w:rsid w:val="78987137"/>
    <w:rsid w:val="78A01947"/>
    <w:rsid w:val="79237CCE"/>
    <w:rsid w:val="794042D3"/>
    <w:rsid w:val="79AD038B"/>
    <w:rsid w:val="7A6A64EE"/>
    <w:rsid w:val="7B5A783B"/>
    <w:rsid w:val="7B932823"/>
    <w:rsid w:val="7B9A28A2"/>
    <w:rsid w:val="7BF02378"/>
    <w:rsid w:val="7C0D1FF9"/>
    <w:rsid w:val="7C7F55C7"/>
    <w:rsid w:val="7CC5504D"/>
    <w:rsid w:val="7D0E5AA8"/>
    <w:rsid w:val="7D395B88"/>
    <w:rsid w:val="7D527565"/>
    <w:rsid w:val="7E11763D"/>
    <w:rsid w:val="7E657E86"/>
    <w:rsid w:val="7EDE3ED2"/>
    <w:rsid w:val="7F030C71"/>
    <w:rsid w:val="7F10546B"/>
    <w:rsid w:val="7F206281"/>
    <w:rsid w:val="7F3942E4"/>
    <w:rsid w:val="7FAF531C"/>
    <w:rsid w:val="7FEF249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4"/>
    <w:basedOn w:val="1"/>
    <w:next w:val="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List Paragraph"/>
    <w:basedOn w:val="1"/>
    <w:autoRedefine/>
    <w:unhideWhenUsed/>
    <w:qFormat/>
    <w:uiPriority w:val="99"/>
    <w:pPr>
      <w:ind w:firstLine="420" w:firstLineChars="200"/>
    </w:pPr>
  </w:style>
  <w:style w:type="paragraph" w:styleId="4">
    <w:name w:val="annotation text"/>
    <w:basedOn w:val="1"/>
    <w:autoRedefine/>
    <w:qFormat/>
    <w:uiPriority w:val="0"/>
    <w:pPr>
      <w:jc w:val="left"/>
    </w:pPr>
  </w:style>
  <w:style w:type="paragraph" w:styleId="5">
    <w:name w:val="Balloon Text"/>
    <w:basedOn w:val="1"/>
    <w:link w:val="17"/>
    <w:autoRedefine/>
    <w:qFormat/>
    <w:uiPriority w:val="0"/>
    <w:rPr>
      <w:sz w:val="18"/>
      <w:szCs w:val="18"/>
    </w:rPr>
  </w:style>
  <w:style w:type="paragraph" w:styleId="6">
    <w:name w:val="footer"/>
    <w:basedOn w:val="1"/>
    <w:autoRedefine/>
    <w:qFormat/>
    <w:uiPriority w:val="0"/>
    <w:pPr>
      <w:tabs>
        <w:tab w:val="center" w:pos="4153"/>
        <w:tab w:val="right" w:pos="8306"/>
      </w:tabs>
      <w:snapToGrid w:val="0"/>
      <w:jc w:val="left"/>
    </w:pPr>
    <w:rPr>
      <w:sz w:val="18"/>
      <w:szCs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3"/>
    <w:qFormat/>
    <w:uiPriority w:val="99"/>
    <w:pPr>
      <w:jc w:val="left"/>
    </w:pPr>
    <w:rPr>
      <w:rFonts w:ascii="宋体" w:hAnsi="宋体"/>
      <w:kern w:val="0"/>
      <w:sz w:val="24"/>
    </w:rPr>
  </w:style>
  <w:style w:type="paragraph" w:styleId="9">
    <w:name w:val="Normal (Web)"/>
    <w:basedOn w:val="1"/>
    <w:autoRedefine/>
    <w:qFormat/>
    <w:uiPriority w:val="0"/>
    <w:pPr>
      <w:spacing w:before="100" w:beforeAutospacing="1" w:after="100" w:afterAutospacing="1"/>
      <w:jc w:val="left"/>
    </w:pPr>
    <w:rPr>
      <w:kern w:val="0"/>
      <w:sz w:val="24"/>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autoRedefine/>
    <w:qFormat/>
    <w:uiPriority w:val="0"/>
  </w:style>
  <w:style w:type="character" w:styleId="14">
    <w:name w:val="FollowedHyperlink"/>
    <w:basedOn w:val="12"/>
    <w:autoRedefine/>
    <w:qFormat/>
    <w:uiPriority w:val="0"/>
    <w:rPr>
      <w:color w:val="00A7D8"/>
      <w:u w:val="none"/>
    </w:rPr>
  </w:style>
  <w:style w:type="character" w:styleId="15">
    <w:name w:val="Hyperlink"/>
    <w:basedOn w:val="12"/>
    <w:autoRedefine/>
    <w:qFormat/>
    <w:uiPriority w:val="0"/>
    <w:rPr>
      <w:color w:val="444444"/>
      <w:u w:val="none"/>
    </w:rPr>
  </w:style>
  <w:style w:type="paragraph" w:customStyle="1" w:styleId="16">
    <w:name w:val="首行缩进"/>
    <w:basedOn w:val="1"/>
    <w:autoRedefine/>
    <w:qFormat/>
    <w:uiPriority w:val="0"/>
    <w:pPr>
      <w:spacing w:line="360" w:lineRule="auto"/>
      <w:ind w:firstLine="480" w:firstLineChars="200"/>
      <w:jc w:val="left"/>
    </w:pPr>
    <w:rPr>
      <w:rFonts w:ascii="宋体" w:hAnsi="宋体"/>
      <w:sz w:val="24"/>
    </w:rPr>
  </w:style>
  <w:style w:type="character" w:customStyle="1" w:styleId="17">
    <w:name w:val="批注框文本 Char"/>
    <w:link w:val="5"/>
    <w:autoRedefine/>
    <w:qFormat/>
    <w:uiPriority w:val="0"/>
    <w:rPr>
      <w:kern w:val="2"/>
      <w:sz w:val="18"/>
      <w:szCs w:val="18"/>
    </w:rPr>
  </w:style>
  <w:style w:type="paragraph" w:customStyle="1" w:styleId="1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9">
    <w:name w:val="Table Paragraph"/>
    <w:basedOn w:val="1"/>
    <w:autoRedefine/>
    <w:qFormat/>
    <w:uiPriority w:val="1"/>
    <w:rPr>
      <w:rFonts w:ascii="宋体" w:hAnsi="宋体" w:cs="宋体"/>
      <w:lang w:val="zh-CN" w:bidi="zh-CN"/>
    </w:rPr>
  </w:style>
  <w:style w:type="paragraph" w:customStyle="1" w:styleId="20">
    <w:name w:val="Char"/>
    <w:basedOn w:val="1"/>
    <w:autoRedefine/>
    <w:qFormat/>
    <w:uiPriority w:val="0"/>
    <w:pPr>
      <w:widowControl/>
      <w:spacing w:after="160" w:line="240" w:lineRule="exact"/>
      <w:jc w:val="left"/>
    </w:pPr>
    <w:rPr>
      <w:rFonts w:ascii="Verdana" w:hAnsi="Verdana"/>
      <w:kern w:val="0"/>
      <w:sz w:val="18"/>
      <w:szCs w:val="20"/>
      <w:lang w:eastAsia="en-US"/>
    </w:rPr>
  </w:style>
  <w:style w:type="paragraph" w:customStyle="1" w:styleId="21">
    <w:name w:val="正文+宋体"/>
    <w:basedOn w:val="1"/>
    <w:autoRedefine/>
    <w:qFormat/>
    <w:uiPriority w:val="0"/>
  </w:style>
  <w:style w:type="paragraph" w:customStyle="1" w:styleId="22">
    <w:name w:val="段"/>
    <w:autoRedefine/>
    <w:qFormat/>
    <w:uiPriority w:val="0"/>
    <w:pPr>
      <w:tabs>
        <w:tab w:val="center" w:pos="4201"/>
        <w:tab w:val="right" w:leader="dot" w:pos="9298"/>
      </w:tabs>
      <w:autoSpaceDE w:val="0"/>
      <w:autoSpaceDN w:val="0"/>
      <w:ind w:firstLine="420" w:firstLineChars="200"/>
      <w:jc w:val="both"/>
    </w:pPr>
    <w:rPr>
      <w:rFonts w:ascii="宋体" w:hAnsi="Calibri" w:eastAsia="Times New Roman" w:cs="Times New Roman"/>
      <w:sz w:val="21"/>
      <w:szCs w:val="22"/>
      <w:lang w:val="en-US" w:eastAsia="zh-CN" w:bidi="ar-SA"/>
    </w:rPr>
  </w:style>
  <w:style w:type="character" w:customStyle="1" w:styleId="23">
    <w:name w:val="HTML 预设格式 Char"/>
    <w:basedOn w:val="12"/>
    <w:link w:val="8"/>
    <w:autoRedefine/>
    <w:qFormat/>
    <w:locked/>
    <w:uiPriority w:val="99"/>
    <w:rPr>
      <w:rFonts w:ascii="宋体" w:hAnsi="宋体"/>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1261</Words>
  <Characters>1639</Characters>
  <Lines>14</Lines>
  <Paragraphs>4</Paragraphs>
  <TotalTime>0</TotalTime>
  <ScaleCrop>false</ScaleCrop>
  <LinksUpToDate>false</LinksUpToDate>
  <CharactersWithSpaces>1670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2024-07-10T02:24:00Z</dcterms:created>
  <dc:creator>cj_wong</dc:creator>
  <cp:lastModifiedBy>Hwang</cp:lastModifiedBy>
  <cp:lastPrinted>2020-01-09T02:23:00Z</cp:lastPrinted>
  <dcterms:modified xsi:type="dcterms:W3CDTF">2025-07-08T02:16:54Z</dcterms:modified>
  <dc:title>XXXX年第X批风险监测实施方案</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8749F2E85CE04C149C4AD891415E666D_13</vt:lpwstr>
  </property>
  <property fmtid="{D5CDD505-2E9C-101B-9397-08002B2CF9AE}" pid="4" name="KSOTemplateDocerSaveRecord">
    <vt:lpwstr>eyJoZGlkIjoiMTJkYzhjY2U0MjBkODY3NjJkMGIyYTQ0MzY3ODNhMDUiLCJ1c2VySWQiOiIzMzE0NjIwNzAifQ==</vt:lpwstr>
  </property>
</Properties>
</file>