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4FA6B">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方正小标宋简体" w:hAnsi="Times New Roman" w:eastAsia="方正小标宋简体"/>
          <w:b w:val="0"/>
          <w:color w:val="auto"/>
          <w:sz w:val="36"/>
          <w:szCs w:val="36"/>
          <w:highlight w:val="none"/>
          <w:lang w:eastAsia="zh-CN"/>
        </w:rPr>
      </w:pPr>
      <w:r>
        <w:rPr>
          <w:rFonts w:hint="eastAsia" w:ascii="方正小标宋简体" w:hAnsi="Times New Roman"/>
          <w:b w:val="0"/>
          <w:color w:val="auto"/>
          <w:sz w:val="36"/>
          <w:szCs w:val="36"/>
          <w:highlight w:val="none"/>
          <w:lang w:eastAsia="zh-CN"/>
        </w:rPr>
        <w:t>南京客尚生物科技有限公司</w:t>
      </w:r>
    </w:p>
    <w:p w14:paraId="3623AD10">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方正小标宋简体" w:hAnsi="Times New Roman"/>
          <w:b w:val="0"/>
          <w:color w:val="auto"/>
          <w:sz w:val="36"/>
          <w:szCs w:val="36"/>
          <w:highlight w:val="none"/>
        </w:rPr>
      </w:pPr>
      <w:r>
        <w:rPr>
          <w:rFonts w:hint="eastAsia" w:ascii="方正小标宋简体" w:hAnsi="Times New Roman"/>
          <w:b w:val="0"/>
          <w:color w:val="auto"/>
          <w:sz w:val="36"/>
          <w:szCs w:val="36"/>
          <w:highlight w:val="none"/>
        </w:rPr>
        <w:t>其他食品（</w:t>
      </w:r>
      <w:r>
        <w:rPr>
          <w:rFonts w:hint="eastAsia" w:ascii="方正小标宋简体" w:hAnsi="Times New Roman"/>
          <w:b w:val="0"/>
          <w:color w:val="auto"/>
          <w:sz w:val="36"/>
          <w:szCs w:val="36"/>
          <w:highlight w:val="none"/>
          <w:lang w:eastAsia="zh-CN"/>
        </w:rPr>
        <w:t>酵母β-葡聚糖</w:t>
      </w:r>
      <w:r>
        <w:rPr>
          <w:rFonts w:hint="eastAsia" w:ascii="方正小标宋简体" w:hAnsi="Times New Roman"/>
          <w:b w:val="0"/>
          <w:color w:val="auto"/>
          <w:sz w:val="36"/>
          <w:szCs w:val="36"/>
          <w:highlight w:val="none"/>
        </w:rPr>
        <w:t>）生产许可审查方案</w:t>
      </w:r>
    </w:p>
    <w:p w14:paraId="7DC701FA">
      <w:pPr>
        <w:pStyle w:val="5"/>
        <w:spacing w:before="0" w:after="0" w:line="240" w:lineRule="auto"/>
        <w:jc w:val="center"/>
        <w:rPr>
          <w:rFonts w:ascii="方正小标宋简体" w:hAnsi="Times New Roman" w:eastAsia="方正小标宋简体"/>
          <w:b w:val="0"/>
          <w:color w:val="auto"/>
          <w:sz w:val="28"/>
          <w:szCs w:val="28"/>
          <w:highlight w:val="none"/>
        </w:rPr>
      </w:pPr>
      <w:r>
        <w:rPr>
          <w:rFonts w:hint="eastAsia" w:ascii="方正小标宋简体" w:hAnsi="Times New Roman" w:eastAsia="方正小标宋简体"/>
          <w:b w:val="0"/>
          <w:color w:val="auto"/>
          <w:sz w:val="28"/>
          <w:szCs w:val="28"/>
          <w:highlight w:val="none"/>
        </w:rPr>
        <w:t>第一章 总则</w:t>
      </w:r>
    </w:p>
    <w:p w14:paraId="42C0B128">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为了做好其他食品（</w:t>
      </w:r>
      <w:r>
        <w:rPr>
          <w:rFonts w:hint="eastAsia" w:ascii="Times New Roman" w:hAnsi="Times New Roman"/>
          <w:color w:val="auto"/>
          <w:sz w:val="28"/>
          <w:szCs w:val="22"/>
          <w:highlight w:val="none"/>
          <w:lang w:eastAsia="zh-CN"/>
        </w:rPr>
        <w:t>酵母β-葡聚糖</w:t>
      </w:r>
      <w:r>
        <w:rPr>
          <w:rFonts w:hint="eastAsia" w:ascii="Times New Roman" w:hAnsi="Times New Roman"/>
          <w:color w:val="auto"/>
          <w:sz w:val="28"/>
          <w:szCs w:val="22"/>
          <w:highlight w:val="none"/>
        </w:rPr>
        <w:t>）生产许可审查工作，依据《中华人民共和国食品安全法》及其实施条例、《食品生产许可管理办法》、《食品生产许可审查通则》（以下简称通则）等有关法律法规、规章和食品安全国家标准，制定其他食品（</w:t>
      </w:r>
      <w:r>
        <w:rPr>
          <w:rFonts w:hint="eastAsia" w:ascii="Times New Roman" w:hAnsi="Times New Roman"/>
          <w:color w:val="auto"/>
          <w:sz w:val="28"/>
          <w:szCs w:val="22"/>
          <w:highlight w:val="none"/>
          <w:lang w:eastAsia="zh-CN"/>
        </w:rPr>
        <w:t>酵母β-葡聚糖</w:t>
      </w:r>
      <w:r>
        <w:rPr>
          <w:rFonts w:hint="eastAsia" w:ascii="Times New Roman" w:hAnsi="Times New Roman"/>
          <w:color w:val="auto"/>
          <w:sz w:val="28"/>
          <w:szCs w:val="22"/>
          <w:highlight w:val="none"/>
        </w:rPr>
        <w:t>）生产许可审查方案（以下简称方案）。</w:t>
      </w:r>
    </w:p>
    <w:p w14:paraId="6ADA0DDB">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本方案中引用的文件、标准通过引用成为本方案的内容。凡是引用文件、标准，其最新版本（包括所有的修改单）适用于本方案。</w:t>
      </w:r>
    </w:p>
    <w:p w14:paraId="16641605">
      <w:pPr>
        <w:pStyle w:val="5"/>
        <w:pageBreakBefore w:val="0"/>
        <w:widowControl w:val="0"/>
        <w:kinsoku/>
        <w:wordWrap/>
        <w:overflowPunct/>
        <w:topLinePunct w:val="0"/>
        <w:autoSpaceDE/>
        <w:autoSpaceDN/>
        <w:bidi w:val="0"/>
        <w:adjustRightInd/>
        <w:snapToGrid/>
        <w:spacing w:before="0" w:after="0" w:line="240" w:lineRule="auto"/>
        <w:jc w:val="center"/>
        <w:textAlignment w:val="auto"/>
        <w:rPr>
          <w:rFonts w:ascii="方正小标宋简体" w:hAnsi="Times New Roman" w:eastAsia="方正小标宋简体"/>
          <w:b w:val="0"/>
          <w:color w:val="auto"/>
          <w:sz w:val="28"/>
          <w:szCs w:val="28"/>
          <w:highlight w:val="none"/>
        </w:rPr>
      </w:pPr>
      <w:r>
        <w:rPr>
          <w:rFonts w:hint="eastAsia" w:ascii="方正小标宋简体" w:hAnsi="Times New Roman" w:eastAsia="方正小标宋简体"/>
          <w:b w:val="0"/>
          <w:color w:val="auto"/>
          <w:sz w:val="28"/>
          <w:szCs w:val="28"/>
          <w:highlight w:val="none"/>
        </w:rPr>
        <w:t xml:space="preserve">第二章 </w:t>
      </w:r>
      <w:r>
        <w:rPr>
          <w:rFonts w:hint="eastAsia" w:ascii="方正小标宋简体" w:hAnsi="Times New Roman" w:eastAsia="方正小标宋简体"/>
          <w:b w:val="0"/>
          <w:color w:val="auto"/>
          <w:sz w:val="28"/>
          <w:szCs w:val="28"/>
          <w:highlight w:val="none"/>
          <w:lang w:eastAsia="zh-CN"/>
        </w:rPr>
        <w:t>其他食品（酵母β-葡聚糖）</w:t>
      </w:r>
      <w:r>
        <w:rPr>
          <w:rFonts w:hint="eastAsia" w:ascii="方正小标宋简体" w:hAnsi="Times New Roman" w:eastAsia="方正小标宋简体"/>
          <w:b w:val="0"/>
          <w:color w:val="auto"/>
          <w:sz w:val="28"/>
          <w:szCs w:val="28"/>
          <w:highlight w:val="none"/>
        </w:rPr>
        <w:t>生产许可审查要求</w:t>
      </w:r>
    </w:p>
    <w:p w14:paraId="03A357FB">
      <w:pPr>
        <w:pStyle w:val="9"/>
        <w:pageBreakBefore w:val="0"/>
        <w:widowControl w:val="0"/>
        <w:tabs>
          <w:tab w:val="left" w:pos="0"/>
        </w:tabs>
        <w:kinsoku/>
        <w:wordWrap/>
        <w:overflowPunct/>
        <w:topLinePunct w:val="0"/>
        <w:autoSpaceDE/>
        <w:autoSpaceDN/>
        <w:bidi w:val="0"/>
        <w:adjustRightInd/>
        <w:snapToGrid/>
        <w:spacing w:line="240" w:lineRule="auto"/>
        <w:ind w:left="-51" w:leftChars="-191" w:hanging="350" w:hangingChars="125"/>
        <w:jc w:val="center"/>
        <w:textAlignment w:val="auto"/>
        <w:rPr>
          <w:rFonts w:ascii="方正小标宋简体" w:hAnsi="Times New Roman" w:eastAsia="方正小标宋简体"/>
          <w:color w:val="auto"/>
          <w:sz w:val="28"/>
          <w:szCs w:val="22"/>
          <w:highlight w:val="none"/>
        </w:rPr>
      </w:pPr>
      <w:r>
        <w:rPr>
          <w:rFonts w:hint="eastAsia" w:ascii="方正小标宋简体" w:hAnsi="Times New Roman" w:eastAsia="方正小标宋简体"/>
          <w:color w:val="auto"/>
          <w:sz w:val="28"/>
          <w:szCs w:val="22"/>
          <w:highlight w:val="none"/>
        </w:rPr>
        <w:t>第一节 许可范围</w:t>
      </w:r>
    </w:p>
    <w:p w14:paraId="0E10A4A9">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实施食品生产</w:t>
      </w:r>
      <w:r>
        <w:rPr>
          <w:rFonts w:hint="eastAsia" w:ascii="Times New Roman" w:hAnsi="Times New Roman" w:cs="Times New Roman"/>
          <w:color w:val="auto"/>
          <w:sz w:val="28"/>
          <w:szCs w:val="22"/>
          <w:highlight w:val="none"/>
        </w:rPr>
        <w:t>许可管理的其他食品（</w:t>
      </w:r>
      <w:r>
        <w:rPr>
          <w:rFonts w:hint="eastAsia" w:ascii="Times New Roman" w:hAnsi="Times New Roman" w:cs="Times New Roman"/>
          <w:color w:val="auto"/>
          <w:sz w:val="28"/>
          <w:szCs w:val="22"/>
          <w:highlight w:val="none"/>
          <w:lang w:eastAsia="zh-CN"/>
        </w:rPr>
        <w:t>酵母β-葡聚糖</w:t>
      </w:r>
      <w:r>
        <w:rPr>
          <w:rFonts w:hint="eastAsia" w:ascii="Times New Roman" w:hAnsi="Times New Roman" w:cs="Times New Roman"/>
          <w:color w:val="auto"/>
          <w:sz w:val="28"/>
          <w:szCs w:val="22"/>
          <w:highlight w:val="none"/>
        </w:rPr>
        <w:t>）是以</w:t>
      </w:r>
      <w:r>
        <w:rPr>
          <w:rFonts w:hint="eastAsia" w:ascii="Times New Roman" w:hAnsi="Times New Roman" w:cs="Times New Roman"/>
          <w:color w:val="auto"/>
          <w:sz w:val="28"/>
          <w:szCs w:val="22"/>
          <w:highlight w:val="none"/>
          <w:lang w:val="en-US" w:eastAsia="zh-CN"/>
        </w:rPr>
        <w:t>酿酒酵母（GB/T 20886.1中酒用酵母：鲜酵母或酵母乳）为主要原料，经配料、细胞破壁提取、轻重相分离、重相碱处理、分离提纯（轻重相分离、水洗重相、轻重相分离）、重相酸处理、分离提纯（轻重相分离、水洗重相、轻重相分离）、浓缩、喷雾干燥、粉碎过筛、包装制得</w:t>
      </w:r>
      <w:r>
        <w:rPr>
          <w:rFonts w:hint="eastAsia" w:ascii="Times New Roman" w:hAnsi="Times New Roman" w:cs="Times New Roman"/>
          <w:color w:val="auto"/>
          <w:sz w:val="28"/>
          <w:szCs w:val="22"/>
          <w:highlight w:val="none"/>
        </w:rPr>
        <w:t>的产品</w:t>
      </w:r>
      <w:r>
        <w:rPr>
          <w:rFonts w:hint="eastAsia" w:ascii="Times New Roman" w:hAnsi="Times New Roman" w:cs="Times New Roman"/>
          <w:color w:val="auto"/>
          <w:sz w:val="28"/>
          <w:szCs w:val="22"/>
          <w:highlight w:val="none"/>
        </w:rPr>
        <w:t>。</w:t>
      </w:r>
      <w:r>
        <w:rPr>
          <w:rFonts w:hint="eastAsia" w:ascii="Times New Roman" w:hAnsi="Times New Roman"/>
          <w:color w:val="auto"/>
          <w:sz w:val="28"/>
          <w:szCs w:val="22"/>
          <w:highlight w:val="none"/>
          <w:lang w:eastAsia="zh-CN"/>
        </w:rPr>
        <w:t>其他食品（酵母β-葡聚糖）</w:t>
      </w:r>
      <w:r>
        <w:rPr>
          <w:rFonts w:hint="eastAsia" w:ascii="Times New Roman" w:hAnsi="Times New Roman"/>
          <w:color w:val="auto"/>
          <w:sz w:val="28"/>
          <w:szCs w:val="22"/>
          <w:highlight w:val="none"/>
        </w:rPr>
        <w:t>的食品生产许可类别编号为3101；类别名称为其他</w:t>
      </w:r>
      <w:r>
        <w:rPr>
          <w:rFonts w:hint="eastAsia" w:ascii="Times New Roman" w:hAnsi="Times New Roman"/>
          <w:color w:val="auto"/>
          <w:sz w:val="28"/>
          <w:szCs w:val="22"/>
          <w:highlight w:val="none"/>
          <w:lang w:val="en-US" w:eastAsia="zh-CN"/>
        </w:rPr>
        <w:t>食</w:t>
      </w:r>
      <w:r>
        <w:rPr>
          <w:rFonts w:hint="eastAsia" w:ascii="Times New Roman" w:hAnsi="Times New Roman"/>
          <w:color w:val="auto"/>
          <w:sz w:val="28"/>
          <w:szCs w:val="22"/>
          <w:highlight w:val="none"/>
        </w:rPr>
        <w:t>品；品种明细为其他食品（酵母β-葡聚糖）</w:t>
      </w:r>
      <w:r>
        <w:rPr>
          <w:rFonts w:hint="eastAsia" w:ascii="Times New Roman" w:hAnsi="Times New Roman"/>
          <w:color w:val="auto"/>
          <w:kern w:val="0"/>
          <w:sz w:val="28"/>
          <w:szCs w:val="22"/>
          <w:highlight w:val="none"/>
        </w:rPr>
        <w:t>。</w:t>
      </w:r>
    </w:p>
    <w:p w14:paraId="3BB467AC">
      <w:pPr>
        <w:pStyle w:val="9"/>
        <w:numPr>
          <w:ilvl w:val="0"/>
          <w:numId w:val="2"/>
        </w:numPr>
        <w:spacing w:line="240" w:lineRule="auto"/>
        <w:rPr>
          <w:rFonts w:hint="eastAsia" w:ascii="Times New Roman" w:hAnsi="Times New Roman"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产品执行标准为：QB/T 4572《酵母β-葡聚糖》。</w:t>
      </w:r>
    </w:p>
    <w:p w14:paraId="14034A94">
      <w:pPr>
        <w:pStyle w:val="9"/>
        <w:tabs>
          <w:tab w:val="left" w:pos="0"/>
        </w:tabs>
        <w:spacing w:line="240" w:lineRule="auto"/>
        <w:ind w:left="-51" w:leftChars="-191" w:hanging="350" w:hangingChars="125"/>
        <w:jc w:val="center"/>
        <w:rPr>
          <w:rFonts w:ascii="方正小标宋简体" w:hAnsi="Times New Roman" w:eastAsia="方正小标宋简体"/>
          <w:color w:val="auto"/>
          <w:sz w:val="28"/>
          <w:szCs w:val="22"/>
          <w:highlight w:val="none"/>
        </w:rPr>
      </w:pPr>
      <w:r>
        <w:rPr>
          <w:rFonts w:hint="eastAsia" w:ascii="方正小标宋简体" w:hAnsi="Times New Roman" w:eastAsia="方正小标宋简体"/>
          <w:color w:val="auto"/>
          <w:sz w:val="28"/>
          <w:szCs w:val="22"/>
          <w:highlight w:val="none"/>
        </w:rPr>
        <w:t>第二节 生产场所核查</w:t>
      </w:r>
    </w:p>
    <w:p w14:paraId="305ACA5C">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厂房建在无有害气体、烟尘、灰尘、放射性物质及其他扩散性污染源的地区，具备《食品生产许可审查通则》必备的生产环境。厂房通风良好，设计合理，能满足生产流程的要求，有与生产相适应的原辅料库、生产车间、成品库。生产区与生活区分开。</w:t>
      </w:r>
    </w:p>
    <w:p w14:paraId="6A03D4CF">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厂房具有足够空间，以利于设备、物料的贮存与运输、卫生清理和人员通行。厂区道路采用便于清洗的混凝土</w:t>
      </w:r>
      <w:r>
        <w:rPr>
          <w:rFonts w:hint="eastAsia" w:ascii="Times New Roman" w:hAnsi="Times New Roman"/>
          <w:color w:val="auto"/>
          <w:sz w:val="28"/>
          <w:szCs w:val="22"/>
          <w:highlight w:val="none"/>
          <w:lang w:eastAsia="zh-CN"/>
        </w:rPr>
        <w:t>、</w:t>
      </w:r>
      <w:r>
        <w:rPr>
          <w:rFonts w:hint="eastAsia" w:ascii="Times New Roman" w:hAnsi="Times New Roman"/>
          <w:color w:val="auto"/>
          <w:sz w:val="28"/>
          <w:szCs w:val="22"/>
          <w:highlight w:val="none"/>
        </w:rPr>
        <w:t>沥青及其他硬质材料铺设，防止积水和尘土飞扬。厂房与设施严格防止鼠、蝇及其他虫害的侵入和隐匿。</w:t>
      </w:r>
    </w:p>
    <w:p w14:paraId="7DDAF661">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lang w:val="en-US" w:eastAsia="zh-CN"/>
        </w:rPr>
        <w:t>根据产品特点及工艺要求设置相应的生产场所包括</w:t>
      </w:r>
      <w:r>
        <w:rPr>
          <w:rFonts w:hint="eastAsia" w:ascii="Times New Roman" w:hAnsi="Times New Roman"/>
          <w:color w:val="auto"/>
          <w:sz w:val="28"/>
          <w:szCs w:val="22"/>
          <w:highlight w:val="none"/>
          <w:lang w:val="en-US" w:eastAsia="zh-CN"/>
        </w:rPr>
        <w:t>原料冷库、阴凉库、食品添加剂库、包材库、成品库、1F更衣室、1F脱包间、1F缓冲间、配料间、酶解间、工器具清洗间、CIP间、水处理间和机房、零配件暂存间、2F更衣室、工衣清洗间、器具清洗间、洁具间、包材消毒间、喷雾干燥间、粉碎过筛间、粉体内包间、缓冲间、粉体外包间、包材脱包间、机房</w:t>
      </w:r>
      <w:r>
        <w:rPr>
          <w:rFonts w:hint="eastAsia" w:ascii="Times New Roman" w:hAnsi="Times New Roman"/>
          <w:color w:val="auto"/>
          <w:sz w:val="28"/>
          <w:szCs w:val="22"/>
          <w:highlight w:val="none"/>
          <w:lang w:val="en-US" w:eastAsia="zh-CN"/>
        </w:rPr>
        <w:t>。</w:t>
      </w:r>
    </w:p>
    <w:p w14:paraId="41518B40">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lang w:eastAsia="zh-CN"/>
        </w:rPr>
        <w:t>生产车间按生产工艺、卫生控制要求有序合理布局，根据生产流程、操作需要和清洁度要求进行分离或分隔，避免交叉污染。厂房和车间划分为</w:t>
      </w:r>
      <w:r>
        <w:rPr>
          <w:rFonts w:hint="eastAsia" w:ascii="Times New Roman" w:hAnsi="Times New Roman"/>
          <w:color w:val="auto"/>
          <w:sz w:val="28"/>
          <w:szCs w:val="22"/>
          <w:highlight w:val="none"/>
          <w:lang w:eastAsia="zh-CN"/>
        </w:rPr>
        <w:t>一般作业区、准清洁作业区</w:t>
      </w:r>
      <w:r>
        <w:rPr>
          <w:rFonts w:hint="eastAsia" w:ascii="Times New Roman" w:hAnsi="Times New Roman"/>
          <w:color w:val="auto"/>
          <w:sz w:val="28"/>
          <w:szCs w:val="22"/>
          <w:highlight w:val="none"/>
          <w:lang w:val="en-US" w:eastAsia="zh-CN"/>
        </w:rPr>
        <w:t>和清洁作业区</w:t>
      </w:r>
      <w:r>
        <w:rPr>
          <w:rFonts w:hint="eastAsia" w:ascii="Times New Roman" w:hAnsi="Times New Roman"/>
          <w:color w:val="auto"/>
          <w:sz w:val="28"/>
          <w:szCs w:val="22"/>
          <w:highlight w:val="none"/>
          <w:lang w:eastAsia="zh-CN"/>
        </w:rPr>
        <w:t>，不同洁净级别的作业区域之间设置有效的分隔，</w:t>
      </w:r>
      <w:r>
        <w:rPr>
          <w:rFonts w:hint="eastAsia" w:ascii="Times New Roman" w:hAnsi="Times New Roman"/>
          <w:color w:val="auto"/>
          <w:sz w:val="28"/>
          <w:szCs w:val="22"/>
          <w:highlight w:val="none"/>
          <w:lang w:val="en-US" w:eastAsia="zh-CN"/>
        </w:rPr>
        <w:t>其中</w:t>
      </w:r>
      <w:r>
        <w:rPr>
          <w:rFonts w:hint="eastAsia" w:ascii="Times New Roman" w:hAnsi="Times New Roman"/>
          <w:color w:val="auto"/>
          <w:sz w:val="28"/>
          <w:szCs w:val="22"/>
          <w:highlight w:val="none"/>
          <w:lang w:val="en-US" w:eastAsia="zh-CN"/>
        </w:rPr>
        <w:t>清洁作业区环境温度控制在18℃-26℃，相对湿度控制在50％以内</w:t>
      </w:r>
      <w:r>
        <w:rPr>
          <w:rFonts w:hint="eastAsia" w:ascii="Times New Roman" w:hAnsi="Times New Roman"/>
          <w:color w:val="auto"/>
          <w:sz w:val="28"/>
          <w:szCs w:val="22"/>
          <w:highlight w:val="none"/>
          <w:lang w:eastAsia="zh-CN"/>
        </w:rPr>
        <w:t>。</w:t>
      </w:r>
      <w:r>
        <w:rPr>
          <w:rFonts w:hint="eastAsia" w:ascii="Times New Roman" w:hAnsi="Times New Roman"/>
          <w:color w:val="auto"/>
          <w:sz w:val="28"/>
          <w:szCs w:val="22"/>
          <w:highlight w:val="none"/>
        </w:rPr>
        <w:t>生产功能间和清洁度分区见表1。</w:t>
      </w:r>
    </w:p>
    <w:p w14:paraId="697B2519">
      <w:pPr>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br w:type="page"/>
      </w:r>
    </w:p>
    <w:p w14:paraId="30AC2217">
      <w:pPr>
        <w:pStyle w:val="9"/>
        <w:numPr>
          <w:ilvl w:val="0"/>
          <w:numId w:val="0"/>
        </w:numPr>
        <w:spacing w:line="240" w:lineRule="auto"/>
        <w:jc w:val="center"/>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表1生产功能间和清洁度分区</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8"/>
        <w:gridCol w:w="6989"/>
      </w:tblGrid>
      <w:tr w14:paraId="7348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018" w:type="dxa"/>
            <w:noWrap w:val="0"/>
            <w:vAlign w:val="top"/>
            <mc:AlternateContent>
              <mc:Choice Requires="wpsCustomData">
                <wpsCustomData:diagonals>
                  <wpsCustomData:diagonal from="10000" to="26800">
                    <wpsCustomData:border w:val="single" w:color="auto" w:sz="4" w:space="0"/>
                  </wpsCustomData:diagonal>
                  <wpsCustomData:diagonal from="10000" to="33700">
                    <wpsCustomData:border w:val="single" w:color="auto" w:sz="4" w:space="0"/>
                  </wpsCustomData:diagonal>
                </wpsCustomData:diagonals>
              </mc:Choice>
            </mc:AlternateContent>
          </w:tcPr>
          <w:p w14:paraId="70B8A80D">
            <w:pPr>
              <w:pStyle w:val="9"/>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026CC6D9">
            <w:pPr>
              <w:pStyle w:val="9"/>
              <w:snapToGrid w:val="0"/>
              <w:spacing w:line="240" w:lineRule="auto"/>
              <w:jc w:val="left"/>
              <mc:AlternateContent>
                <mc:Choice Requires="wpsCustomData">
                  <wpsCustomData:diagonalParaType/>
                </mc:Choice>
              </mc:AlternateConten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清洁度   </w:t>
            </w:r>
          </w:p>
          <w:p w14:paraId="3D25C8CF">
            <w:pPr>
              <w:pStyle w:val="9"/>
              <w:snapToGrid w:val="0"/>
              <w:spacing w:line="240" w:lineRule="auto"/>
              <w:jc w:val="center"/>
              <mc:AlternateContent>
                <mc:Choice Requires="wpsCustomData">
                  <wpsCustomData:diagonalParaType/>
                </mc:Choice>
              </mc:AlternateConten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功能间</w:t>
            </w:r>
          </w:p>
          <w:p w14:paraId="3F9A365D">
            <w:pPr>
              <w:pStyle w:val="9"/>
              <w:spacing w:line="240" w:lineRule="auto"/>
              <w:ind w:firstLine="220" w:firstLineChars="10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分</w:t>
            </w:r>
            <w:r>
              <w:rPr>
                <w:rFonts w:hint="eastAsia" w:ascii="宋体" w:hAnsi="宋体" w:eastAsia="宋体" w:cs="宋体"/>
                <w:color w:val="auto"/>
                <w:sz w:val="22"/>
                <w:szCs w:val="22"/>
                <w:highlight w:val="none"/>
                <w:lang w:val="en-US" w:eastAsia="zh-CN"/>
              </w:rPr>
              <w:t>类</w:t>
            </w:r>
          </w:p>
          <w:p w14:paraId="60718B5A">
            <w:pPr>
              <w:pStyle w:val="9"/>
              <w:spacing w:line="240" w:lineRule="auto"/>
              <w:jc w:val="center"/>
              <w:rPr>
                <w:rFonts w:hint="eastAsia" w:ascii="宋体" w:hAnsi="宋体" w:eastAsia="宋体" w:cs="宋体"/>
                <w:color w:val="auto"/>
                <w:sz w:val="22"/>
                <w:szCs w:val="22"/>
                <w:highlight w:val="none"/>
              </w:rPr>
            </w:pPr>
          </w:p>
        </w:tc>
        <w:tc>
          <w:tcPr>
            <w:tcW w:w="6989" w:type="dxa"/>
            <w:noWrap w:val="0"/>
            <w:vAlign w:val="center"/>
          </w:tcPr>
          <w:p w14:paraId="12E6CCED">
            <w:pPr>
              <w:pStyle w:val="9"/>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sz w:val="22"/>
                <w:szCs w:val="20"/>
                <w:highlight w:val="none"/>
                <w:lang w:val="en-US" w:eastAsia="zh-CN"/>
              </w:rPr>
            </w:pPr>
            <w:r>
              <w:rPr>
                <w:rFonts w:hint="eastAsia" w:ascii="Times New Roman" w:hAnsi="Times New Roman" w:cs="Times New Roman"/>
                <w:color w:val="auto"/>
                <w:sz w:val="28"/>
                <w:szCs w:val="22"/>
                <w:highlight w:val="none"/>
                <w:lang w:val="en-US" w:eastAsia="zh-CN"/>
              </w:rPr>
              <w:t>酵母β-葡聚糖</w:t>
            </w:r>
          </w:p>
        </w:tc>
      </w:tr>
      <w:tr w14:paraId="2BE2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2018" w:type="dxa"/>
            <w:noWrap w:val="0"/>
            <w:vAlign w:val="center"/>
          </w:tcPr>
          <w:p w14:paraId="7B084528">
            <w:pPr>
              <w:pStyle w:val="9"/>
              <w:keepNext w:val="0"/>
              <w:keepLines w:val="0"/>
              <w:pageBreakBefore w:val="0"/>
              <w:widowControl w:val="0"/>
              <w:numPr>
                <w:ilvl w:val="0"/>
                <w:numId w:val="0"/>
              </w:numPr>
              <w:kinsoku/>
              <w:wordWrap/>
              <w:overflowPunct/>
              <w:topLinePunct w:val="0"/>
              <w:autoSpaceDE/>
              <w:autoSpaceDN/>
              <w:bidi w:val="0"/>
              <w:adjustRightInd/>
              <w:spacing w:line="240" w:lineRule="auto"/>
              <w:jc w:val="center"/>
              <w:textAlignment w:val="auto"/>
              <w:rPr>
                <w:rFonts w:hint="eastAsia" w:ascii="Times New Roman" w:hAnsi="Times New Roman"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一般作业区</w:t>
            </w:r>
          </w:p>
        </w:tc>
        <w:tc>
          <w:tcPr>
            <w:tcW w:w="6989" w:type="dxa"/>
            <w:noWrap w:val="0"/>
            <w:vAlign w:val="center"/>
          </w:tcPr>
          <w:p w14:paraId="686D6049">
            <w:pPr>
              <w:pStyle w:val="9"/>
              <w:keepNext w:val="0"/>
              <w:keepLines w:val="0"/>
              <w:pageBreakBefore w:val="0"/>
              <w:widowControl w:val="0"/>
              <w:numPr>
                <w:ilvl w:val="0"/>
                <w:numId w:val="0"/>
              </w:numPr>
              <w:kinsoku/>
              <w:wordWrap/>
              <w:overflowPunct/>
              <w:topLinePunct w:val="0"/>
              <w:autoSpaceDE/>
              <w:autoSpaceDN/>
              <w:bidi w:val="0"/>
              <w:adjustRightInd/>
              <w:spacing w:line="240" w:lineRule="auto"/>
              <w:jc w:val="left"/>
              <w:textAlignment w:val="auto"/>
              <w:rPr>
                <w:rFonts w:hint="default" w:ascii="Times New Roman" w:hAnsi="Times New Roman" w:cs="Times New Roman"/>
                <w:color w:val="auto"/>
                <w:sz w:val="22"/>
                <w:szCs w:val="22"/>
                <w:highlight w:val="none"/>
                <w:lang w:val="en-US" w:eastAsia="zh-CN"/>
              </w:rPr>
            </w:pPr>
            <w:r>
              <w:rPr>
                <w:rFonts w:hint="eastAsia" w:ascii="Times New Roman" w:hAnsi="Times New Roman"/>
                <w:color w:val="auto"/>
                <w:sz w:val="28"/>
                <w:szCs w:val="22"/>
                <w:highlight w:val="none"/>
                <w:lang w:val="en-US" w:eastAsia="zh-CN"/>
              </w:rPr>
              <w:t>原料冷库、阴凉库、食品添加剂库、包材库、成品库、1F脱包间、粉体外包间、包材脱包间、机房</w:t>
            </w:r>
          </w:p>
        </w:tc>
      </w:tr>
      <w:tr w14:paraId="2E98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2018" w:type="dxa"/>
            <w:noWrap w:val="0"/>
            <w:vAlign w:val="center"/>
          </w:tcPr>
          <w:p w14:paraId="01C3D8B4">
            <w:pPr>
              <w:pStyle w:val="9"/>
              <w:keepNext w:val="0"/>
              <w:keepLines w:val="0"/>
              <w:pageBreakBefore w:val="0"/>
              <w:widowControl w:val="0"/>
              <w:numPr>
                <w:ilvl w:val="0"/>
                <w:numId w:val="0"/>
              </w:numPr>
              <w:kinsoku/>
              <w:wordWrap/>
              <w:overflowPunct/>
              <w:topLinePunct w:val="0"/>
              <w:autoSpaceDE/>
              <w:autoSpaceDN/>
              <w:bidi w:val="0"/>
              <w:adjustRightInd/>
              <w:spacing w:line="240" w:lineRule="auto"/>
              <w:jc w:val="center"/>
              <w:textAlignment w:val="auto"/>
              <w:rPr>
                <w:rFonts w:hint="eastAsia" w:ascii="Times New Roman" w:hAnsi="Times New Roman"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准清洁作业区</w:t>
            </w:r>
          </w:p>
        </w:tc>
        <w:tc>
          <w:tcPr>
            <w:tcW w:w="6989" w:type="dxa"/>
            <w:noWrap w:val="0"/>
            <w:vAlign w:val="center"/>
          </w:tcPr>
          <w:p w14:paraId="0DBFFC2D">
            <w:pPr>
              <w:pStyle w:val="9"/>
              <w:keepNext w:val="0"/>
              <w:keepLines w:val="0"/>
              <w:pageBreakBefore w:val="0"/>
              <w:widowControl w:val="0"/>
              <w:numPr>
                <w:ilvl w:val="0"/>
                <w:numId w:val="0"/>
              </w:numPr>
              <w:kinsoku/>
              <w:wordWrap/>
              <w:overflowPunct/>
              <w:topLinePunct w:val="0"/>
              <w:autoSpaceDE/>
              <w:autoSpaceDN/>
              <w:bidi w:val="0"/>
              <w:adjustRightInd/>
              <w:spacing w:line="240" w:lineRule="auto"/>
              <w:jc w:val="left"/>
              <w:textAlignment w:val="auto"/>
              <w:rPr>
                <w:rFonts w:hint="default" w:ascii="Times New Roman" w:hAnsi="Times New Roman" w:cs="Times New Roman"/>
                <w:color w:val="auto"/>
                <w:sz w:val="22"/>
                <w:szCs w:val="22"/>
                <w:highlight w:val="none"/>
                <w:lang w:val="en-US" w:eastAsia="zh-CN"/>
              </w:rPr>
            </w:pPr>
            <w:r>
              <w:rPr>
                <w:rFonts w:hint="eastAsia" w:ascii="Times New Roman" w:hAnsi="Times New Roman"/>
                <w:color w:val="auto"/>
                <w:sz w:val="28"/>
                <w:szCs w:val="22"/>
                <w:highlight w:val="none"/>
                <w:lang w:val="en-US" w:eastAsia="zh-CN"/>
              </w:rPr>
              <w:t>1F缓冲间、配料间、酶解间、工器具清洗间、CIP间、水处理间和机房、零配件暂存间</w:t>
            </w:r>
          </w:p>
        </w:tc>
      </w:tr>
      <w:tr w14:paraId="6ACA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2018" w:type="dxa"/>
            <w:noWrap w:val="0"/>
            <w:vAlign w:val="center"/>
          </w:tcPr>
          <w:p w14:paraId="630E6233">
            <w:pPr>
              <w:pStyle w:val="9"/>
              <w:keepNext w:val="0"/>
              <w:keepLines w:val="0"/>
              <w:pageBreakBefore w:val="0"/>
              <w:widowControl w:val="0"/>
              <w:numPr>
                <w:ilvl w:val="0"/>
                <w:numId w:val="0"/>
              </w:numPr>
              <w:kinsoku/>
              <w:wordWrap/>
              <w:overflowPunct/>
              <w:topLinePunct w:val="0"/>
              <w:autoSpaceDE/>
              <w:autoSpaceDN/>
              <w:bidi w:val="0"/>
              <w:adjustRightInd/>
              <w:spacing w:line="240" w:lineRule="auto"/>
              <w:jc w:val="center"/>
              <w:textAlignment w:val="auto"/>
              <w:rPr>
                <w:rFonts w:hint="eastAsia" w:ascii="Times New Roman" w:hAnsi="Times New Roman"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清洁作业区</w:t>
            </w:r>
          </w:p>
        </w:tc>
        <w:tc>
          <w:tcPr>
            <w:tcW w:w="6989" w:type="dxa"/>
            <w:noWrap w:val="0"/>
            <w:vAlign w:val="center"/>
          </w:tcPr>
          <w:p w14:paraId="4AB019A9">
            <w:pPr>
              <w:pStyle w:val="9"/>
              <w:keepNext w:val="0"/>
              <w:keepLines w:val="0"/>
              <w:pageBreakBefore w:val="0"/>
              <w:widowControl w:val="0"/>
              <w:numPr>
                <w:ilvl w:val="0"/>
                <w:numId w:val="0"/>
              </w:numPr>
              <w:kinsoku/>
              <w:wordWrap/>
              <w:overflowPunct/>
              <w:topLinePunct w:val="0"/>
              <w:autoSpaceDE/>
              <w:autoSpaceDN/>
              <w:bidi w:val="0"/>
              <w:adjustRightInd/>
              <w:spacing w:line="240" w:lineRule="auto"/>
              <w:ind w:left="0" w:leftChars="0" w:firstLine="0" w:firstLineChars="0"/>
              <w:jc w:val="left"/>
              <w:textAlignment w:val="auto"/>
              <w:rPr>
                <w:rFonts w:hint="eastAsia" w:ascii="Times New Roman" w:hAnsi="Times New Roman" w:eastAsia="仿宋_GB2312" w:cs="Times New Roman"/>
                <w:color w:val="auto"/>
                <w:kern w:val="2"/>
                <w:sz w:val="22"/>
                <w:szCs w:val="22"/>
                <w:highlight w:val="none"/>
                <w:lang w:val="en-US" w:eastAsia="zh-CN" w:bidi="ar-SA"/>
              </w:rPr>
            </w:pPr>
            <w:r>
              <w:rPr>
                <w:rFonts w:hint="eastAsia" w:ascii="Times New Roman" w:hAnsi="Times New Roman"/>
                <w:color w:val="auto"/>
                <w:sz w:val="28"/>
                <w:szCs w:val="22"/>
                <w:highlight w:val="none"/>
                <w:lang w:val="en-US" w:eastAsia="zh-CN"/>
              </w:rPr>
              <w:t>工衣清洗间、器具清洗间、洁具间、包材消毒间、喷雾干燥间、粉碎过筛间、粉体内包间、缓冲间</w:t>
            </w:r>
          </w:p>
        </w:tc>
      </w:tr>
      <w:tr w14:paraId="4FCA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9007" w:type="dxa"/>
            <w:gridSpan w:val="2"/>
            <w:noWrap w:val="0"/>
            <w:vAlign w:val="center"/>
          </w:tcPr>
          <w:p w14:paraId="3EB2F760">
            <w:pPr>
              <w:pStyle w:val="9"/>
              <w:keepNext w:val="0"/>
              <w:keepLines w:val="0"/>
              <w:pageBreakBefore w:val="0"/>
              <w:widowControl w:val="0"/>
              <w:numPr>
                <w:ilvl w:val="0"/>
                <w:numId w:val="0"/>
              </w:numPr>
              <w:kinsoku/>
              <w:wordWrap/>
              <w:overflowPunct/>
              <w:topLinePunct w:val="0"/>
              <w:autoSpaceDE/>
              <w:autoSpaceDN/>
              <w:bidi w:val="0"/>
              <w:adjustRightInd/>
              <w:spacing w:line="240" w:lineRule="auto"/>
              <w:ind w:left="0" w:leftChars="0" w:firstLine="0" w:firstLineChars="0"/>
              <w:jc w:val="left"/>
              <w:textAlignment w:val="auto"/>
              <w:rPr>
                <w:rFonts w:hint="default" w:ascii="Times New Roman" w:hAnsi="Times New Roman"/>
                <w:color w:val="auto"/>
                <w:sz w:val="28"/>
                <w:szCs w:val="22"/>
                <w:highlight w:val="none"/>
                <w:lang w:val="en-US" w:eastAsia="zh-CN"/>
              </w:rPr>
            </w:pPr>
            <w:r>
              <w:rPr>
                <w:rFonts w:hint="eastAsia" w:ascii="Times New Roman" w:hAnsi="Times New Roman"/>
                <w:color w:val="auto"/>
                <w:sz w:val="28"/>
                <w:szCs w:val="22"/>
                <w:highlight w:val="none"/>
                <w:lang w:val="en-US" w:eastAsia="zh-CN"/>
              </w:rPr>
              <w:t>注：鉴于车间现场实际布局和施工难易程度将CIP 间、水处理间和机房、零配件暂存间设为准清洁作业区。</w:t>
            </w:r>
          </w:p>
        </w:tc>
      </w:tr>
    </w:tbl>
    <w:p w14:paraId="5468A185">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人员、原料、包装材料、设备等进出准清洁作业区有合理的防止交叉污染的限制和控制措施，设置相互分隔的人</w:t>
      </w:r>
      <w:bookmarkStart w:id="1" w:name="_GoBack"/>
      <w:bookmarkEnd w:id="1"/>
      <w:r>
        <w:rPr>
          <w:rFonts w:hint="eastAsia" w:ascii="Times New Roman" w:hAnsi="Times New Roman"/>
          <w:color w:val="auto"/>
          <w:sz w:val="28"/>
          <w:szCs w:val="22"/>
          <w:highlight w:val="none"/>
        </w:rPr>
        <w:t>流通道、物流通道。生产车间入口处设置更衣室，洗手、干手和消毒设施，换鞋设施。</w:t>
      </w:r>
    </w:p>
    <w:p w14:paraId="249CA44A">
      <w:pPr>
        <w:pStyle w:val="9"/>
        <w:tabs>
          <w:tab w:val="left" w:pos="0"/>
        </w:tabs>
        <w:spacing w:line="240" w:lineRule="auto"/>
        <w:ind w:left="-2" w:leftChars="-1" w:firstLine="1"/>
        <w:jc w:val="center"/>
        <w:rPr>
          <w:rFonts w:ascii="方正小标宋简体" w:hAnsi="Times New Roman" w:eastAsia="方正小标宋简体"/>
          <w:color w:val="auto"/>
          <w:sz w:val="28"/>
          <w:szCs w:val="22"/>
          <w:highlight w:val="none"/>
        </w:rPr>
      </w:pPr>
      <w:r>
        <w:rPr>
          <w:rFonts w:hint="eastAsia" w:ascii="方正小标宋简体" w:hAnsi="Times New Roman" w:eastAsia="方正小标宋简体"/>
          <w:color w:val="auto"/>
          <w:sz w:val="28"/>
          <w:szCs w:val="22"/>
          <w:highlight w:val="none"/>
        </w:rPr>
        <w:t>第三节 设备设施核查</w:t>
      </w:r>
    </w:p>
    <w:p w14:paraId="4A3804B4">
      <w:pPr>
        <w:pStyle w:val="9"/>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Times New Roman" w:hAnsi="Times New Roman" w:cs="Times New Roman"/>
          <w:color w:val="auto"/>
          <w:sz w:val="28"/>
          <w:szCs w:val="22"/>
          <w:highlight w:val="none"/>
        </w:rPr>
        <w:t>具有与生产产品品种、数量相适应的生产设备设施，性能与精度满足生产要求，便于操作、清洁、维护。生产设备设施详见表</w:t>
      </w:r>
      <w:r>
        <w:rPr>
          <w:rFonts w:hint="eastAsia" w:ascii="Times New Roman" w:hAnsi="Times New Roman" w:cs="Times New Roman"/>
          <w:color w:val="auto"/>
          <w:sz w:val="28"/>
          <w:szCs w:val="22"/>
          <w:highlight w:val="none"/>
          <w:lang w:val="en-US" w:eastAsia="zh-CN"/>
        </w:rPr>
        <w:t>2</w:t>
      </w:r>
      <w:r>
        <w:rPr>
          <w:rFonts w:hint="eastAsia" w:ascii="宋体" w:hAnsi="宋体" w:eastAsia="宋体" w:cs="宋体"/>
          <w:color w:val="auto"/>
          <w:spacing w:val="7"/>
          <w:sz w:val="28"/>
          <w:szCs w:val="28"/>
          <w:highlight w:val="none"/>
        </w:rPr>
        <w:t>。</w:t>
      </w:r>
    </w:p>
    <w:p w14:paraId="2B679513">
      <w:pPr>
        <w:pStyle w:val="9"/>
        <w:keepNext w:val="0"/>
        <w:keepLines w:val="0"/>
        <w:pageBreakBefore w:val="0"/>
        <w:widowControl w:val="0"/>
        <w:kinsoku/>
        <w:wordWrap/>
        <w:overflowPunct/>
        <w:topLinePunct w:val="0"/>
        <w:autoSpaceDE/>
        <w:autoSpaceDN/>
        <w:bidi w:val="0"/>
        <w:adjustRightInd/>
        <w:snapToGrid/>
        <w:spacing w:line="240" w:lineRule="auto"/>
        <w:ind w:left="305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2"/>
          <w:highlight w:val="none"/>
          <w:lang w:val="en-US" w:eastAsia="zh-CN"/>
        </w:rPr>
        <w:t xml:space="preserve">表2  </w:t>
      </w:r>
      <w:r>
        <w:rPr>
          <w:rFonts w:hint="eastAsia" w:ascii="宋体" w:hAnsi="宋体" w:eastAsia="宋体" w:cs="宋体"/>
          <w:color w:val="auto"/>
          <w:sz w:val="28"/>
          <w:szCs w:val="22"/>
          <w:highlight w:val="none"/>
        </w:rPr>
        <w:t>生产设备设施</w:t>
      </w:r>
    </w:p>
    <w:tbl>
      <w:tblPr>
        <w:tblStyle w:val="37"/>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2"/>
        <w:gridCol w:w="6537"/>
      </w:tblGrid>
      <w:tr w14:paraId="74499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center"/>
          </w:tcPr>
          <w:p w14:paraId="2ACE2B42">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设备设施类别</w:t>
            </w:r>
          </w:p>
        </w:tc>
        <w:tc>
          <w:tcPr>
            <w:tcW w:w="6537" w:type="dxa"/>
            <w:noWrap w:val="0"/>
            <w:vAlign w:val="center"/>
          </w:tcPr>
          <w:p w14:paraId="5B91B5DB">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设备设施名称</w:t>
            </w:r>
          </w:p>
        </w:tc>
      </w:tr>
      <w:tr w14:paraId="113AA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center"/>
          </w:tcPr>
          <w:p w14:paraId="44C2EEF7">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sz w:val="28"/>
                <w:szCs w:val="22"/>
                <w:highlight w:val="none"/>
                <w:lang w:val="en-US" w:eastAsia="zh-CN"/>
              </w:rPr>
              <w:t>细胞破壁提取设备</w:t>
            </w:r>
          </w:p>
        </w:tc>
        <w:tc>
          <w:tcPr>
            <w:tcW w:w="6537" w:type="dxa"/>
            <w:noWrap w:val="0"/>
            <w:vAlign w:val="center"/>
          </w:tcPr>
          <w:p w14:paraId="0057D0BF">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sz w:val="28"/>
                <w:szCs w:val="22"/>
                <w:highlight w:val="none"/>
                <w:lang w:val="en-US" w:eastAsia="zh-CN"/>
              </w:rPr>
              <w:t>酶解罐等</w:t>
            </w:r>
          </w:p>
        </w:tc>
      </w:tr>
      <w:tr w14:paraId="2CE0E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center"/>
          </w:tcPr>
          <w:p w14:paraId="06034C34">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sz w:val="28"/>
                <w:szCs w:val="22"/>
                <w:highlight w:val="none"/>
                <w:lang w:val="en-US" w:eastAsia="zh-CN"/>
              </w:rPr>
              <w:t>碱、酸处理设备</w:t>
            </w:r>
          </w:p>
        </w:tc>
        <w:tc>
          <w:tcPr>
            <w:tcW w:w="6537" w:type="dxa"/>
            <w:noWrap w:val="0"/>
            <w:vAlign w:val="center"/>
          </w:tcPr>
          <w:p w14:paraId="074315C6">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sz w:val="28"/>
                <w:szCs w:val="22"/>
                <w:highlight w:val="none"/>
                <w:lang w:val="en-US" w:eastAsia="zh-CN"/>
              </w:rPr>
              <w:t>酶解罐、碱解罐等</w:t>
            </w:r>
          </w:p>
        </w:tc>
      </w:tr>
      <w:tr w14:paraId="2BA04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center"/>
          </w:tcPr>
          <w:p w14:paraId="37A3022A">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sz w:val="28"/>
                <w:szCs w:val="22"/>
                <w:highlight w:val="none"/>
                <w:lang w:val="en-US" w:eastAsia="zh-CN"/>
              </w:rPr>
              <w:t>分离提纯设备</w:t>
            </w:r>
          </w:p>
        </w:tc>
        <w:tc>
          <w:tcPr>
            <w:tcW w:w="6537" w:type="dxa"/>
            <w:noWrap w:val="0"/>
            <w:vAlign w:val="center"/>
          </w:tcPr>
          <w:p w14:paraId="627EA63A">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kern w:val="2"/>
                <w:sz w:val="28"/>
                <w:szCs w:val="22"/>
                <w:highlight w:val="none"/>
                <w:lang w:val="en-US" w:eastAsia="zh-CN" w:bidi="ar-SA"/>
              </w:rPr>
              <w:t>轻相罐、碟片式离心机、浓缩罐、MVR降膜蒸发器等</w:t>
            </w:r>
          </w:p>
        </w:tc>
      </w:tr>
      <w:tr w14:paraId="16387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center"/>
          </w:tcPr>
          <w:p w14:paraId="7827801A">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sz w:val="28"/>
                <w:szCs w:val="22"/>
                <w:highlight w:val="none"/>
                <w:lang w:val="en-US" w:eastAsia="zh-CN"/>
              </w:rPr>
              <w:t>喷雾干燥设备</w:t>
            </w:r>
          </w:p>
        </w:tc>
        <w:tc>
          <w:tcPr>
            <w:tcW w:w="6537" w:type="dxa"/>
            <w:noWrap w:val="0"/>
            <w:vAlign w:val="center"/>
          </w:tcPr>
          <w:p w14:paraId="0BCD8C2C">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cs="Times New Roman"/>
                <w:color w:val="auto"/>
                <w:sz w:val="28"/>
                <w:szCs w:val="22"/>
                <w:highlight w:val="none"/>
                <w:lang w:val="en-US" w:eastAsia="zh-CN"/>
              </w:rPr>
              <w:t>喷雾干燥机</w:t>
            </w:r>
          </w:p>
        </w:tc>
      </w:tr>
      <w:tr w14:paraId="05B32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top"/>
          </w:tcPr>
          <w:p w14:paraId="00EFF58D">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仿宋_GB2312" w:cs="Times New Roman"/>
                <w:color w:val="auto"/>
                <w:kern w:val="2"/>
                <w:sz w:val="28"/>
                <w:szCs w:val="22"/>
                <w:highlight w:val="none"/>
                <w:lang w:val="en-US" w:eastAsia="en-US" w:bidi="ar-SA"/>
              </w:rPr>
            </w:pPr>
            <w:r>
              <w:rPr>
                <w:rFonts w:hint="eastAsia" w:ascii="Times New Roman" w:hAnsi="Times New Roman" w:cs="Times New Roman"/>
                <w:color w:val="auto"/>
                <w:sz w:val="28"/>
                <w:szCs w:val="22"/>
                <w:highlight w:val="none"/>
                <w:lang w:val="en-US" w:eastAsia="zh-CN"/>
              </w:rPr>
              <w:t>粉碎过筛</w:t>
            </w:r>
          </w:p>
        </w:tc>
        <w:tc>
          <w:tcPr>
            <w:tcW w:w="6537" w:type="dxa"/>
            <w:noWrap w:val="0"/>
            <w:vAlign w:val="top"/>
          </w:tcPr>
          <w:p w14:paraId="22C7FC07">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eastAsia="仿宋_GB2312" w:cs="Times New Roman"/>
                <w:color w:val="auto"/>
                <w:kern w:val="2"/>
                <w:sz w:val="28"/>
                <w:szCs w:val="22"/>
                <w:highlight w:val="none"/>
                <w:lang w:val="en-US" w:eastAsia="zh-CN" w:bidi="ar-SA"/>
              </w:rPr>
              <w:t>除尘粉碎机组</w:t>
            </w:r>
            <w:r>
              <w:rPr>
                <w:rFonts w:hint="eastAsia" w:ascii="Times New Roman" w:hAnsi="Times New Roman" w:cs="Times New Roman"/>
                <w:color w:val="auto"/>
                <w:kern w:val="2"/>
                <w:sz w:val="28"/>
                <w:szCs w:val="22"/>
                <w:highlight w:val="none"/>
                <w:lang w:val="en-US" w:eastAsia="zh-CN" w:bidi="ar-SA"/>
              </w:rPr>
              <w:t>、</w:t>
            </w:r>
            <w:r>
              <w:rPr>
                <w:rFonts w:hint="eastAsia" w:ascii="Times New Roman" w:hAnsi="Times New Roman" w:eastAsia="仿宋_GB2312" w:cs="Times New Roman"/>
                <w:color w:val="auto"/>
                <w:kern w:val="2"/>
                <w:sz w:val="28"/>
                <w:szCs w:val="22"/>
                <w:highlight w:val="none"/>
                <w:lang w:val="en-US" w:eastAsia="zh-CN" w:bidi="ar-SA"/>
              </w:rPr>
              <w:t>筛分机</w:t>
            </w:r>
            <w:r>
              <w:rPr>
                <w:rFonts w:hint="eastAsia" w:ascii="Times New Roman" w:hAnsi="Times New Roman" w:cs="Times New Roman"/>
                <w:color w:val="auto"/>
                <w:kern w:val="2"/>
                <w:sz w:val="28"/>
                <w:szCs w:val="22"/>
                <w:highlight w:val="none"/>
                <w:lang w:val="en-US" w:eastAsia="zh-CN" w:bidi="ar-SA"/>
              </w:rPr>
              <w:t>等</w:t>
            </w:r>
          </w:p>
        </w:tc>
      </w:tr>
      <w:tr w14:paraId="0F1B6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top"/>
          </w:tcPr>
          <w:p w14:paraId="302A538D">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仿宋_GB2312" w:cs="Times New Roman"/>
                <w:color w:val="auto"/>
                <w:kern w:val="2"/>
                <w:sz w:val="28"/>
                <w:szCs w:val="22"/>
                <w:highlight w:val="none"/>
                <w:lang w:val="en-US" w:eastAsia="en-US" w:bidi="ar-SA"/>
              </w:rPr>
            </w:pPr>
            <w:r>
              <w:rPr>
                <w:rFonts w:hint="eastAsia" w:ascii="Times New Roman" w:hAnsi="Times New Roman" w:cs="Times New Roman"/>
                <w:color w:val="auto"/>
                <w:sz w:val="28"/>
                <w:szCs w:val="22"/>
                <w:highlight w:val="none"/>
                <w:lang w:val="en-US" w:eastAsia="zh-CN"/>
              </w:rPr>
              <w:t>包装</w:t>
            </w:r>
          </w:p>
        </w:tc>
        <w:tc>
          <w:tcPr>
            <w:tcW w:w="6537" w:type="dxa"/>
            <w:noWrap w:val="0"/>
            <w:vAlign w:val="top"/>
          </w:tcPr>
          <w:p w14:paraId="00DDF937">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color w:val="auto"/>
                <w:kern w:val="2"/>
                <w:sz w:val="28"/>
                <w:szCs w:val="22"/>
                <w:highlight w:val="none"/>
                <w:lang w:val="en-US" w:eastAsia="zh-CN" w:bidi="ar-SA"/>
              </w:rPr>
            </w:pPr>
            <w:r>
              <w:rPr>
                <w:rFonts w:hint="eastAsia" w:ascii="Times New Roman" w:hAnsi="Times New Roman" w:eastAsia="仿宋_GB2312" w:cs="Times New Roman"/>
                <w:color w:val="auto"/>
                <w:kern w:val="2"/>
                <w:sz w:val="28"/>
                <w:szCs w:val="22"/>
                <w:highlight w:val="none"/>
                <w:lang w:val="en-US" w:eastAsia="zh-CN" w:bidi="ar-SA"/>
              </w:rPr>
              <w:t>粉体包装机组</w:t>
            </w:r>
            <w:r>
              <w:rPr>
                <w:rFonts w:hint="eastAsia" w:ascii="Times New Roman" w:hAnsi="Times New Roman" w:cs="Times New Roman"/>
                <w:color w:val="auto"/>
                <w:kern w:val="2"/>
                <w:sz w:val="28"/>
                <w:szCs w:val="22"/>
                <w:highlight w:val="none"/>
                <w:lang w:val="en-US" w:eastAsia="zh-CN" w:bidi="ar-SA"/>
              </w:rPr>
              <w:t>等</w:t>
            </w:r>
          </w:p>
        </w:tc>
      </w:tr>
      <w:tr w14:paraId="5DFE5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92" w:type="dxa"/>
            <w:noWrap w:val="0"/>
            <w:vAlign w:val="top"/>
          </w:tcPr>
          <w:p w14:paraId="5FA5B466">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其他设备</w:t>
            </w:r>
          </w:p>
        </w:tc>
        <w:tc>
          <w:tcPr>
            <w:tcW w:w="6537" w:type="dxa"/>
            <w:noWrap w:val="0"/>
            <w:vAlign w:val="top"/>
          </w:tcPr>
          <w:p w14:paraId="2F6507FE">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auto"/>
                <w:sz w:val="28"/>
                <w:szCs w:val="22"/>
                <w:highlight w:val="none"/>
                <w:lang w:val="en-US" w:eastAsia="zh-CN"/>
              </w:rPr>
            </w:pPr>
            <w:r>
              <w:rPr>
                <w:rFonts w:hint="eastAsia" w:ascii="Times New Roman" w:hAnsi="Times New Roman" w:cs="Times New Roman"/>
                <w:color w:val="auto"/>
                <w:sz w:val="28"/>
                <w:szCs w:val="22"/>
                <w:highlight w:val="none"/>
              </w:rPr>
              <w:t>电子秤、</w:t>
            </w:r>
            <w:r>
              <w:rPr>
                <w:rFonts w:hint="eastAsia" w:ascii="Times New Roman" w:hAnsi="Times New Roman" w:cs="Times New Roman"/>
                <w:color w:val="auto"/>
                <w:sz w:val="28"/>
                <w:szCs w:val="22"/>
                <w:highlight w:val="none"/>
                <w:lang w:val="en-US" w:eastAsia="zh-CN"/>
              </w:rPr>
              <w:t>流量计</w:t>
            </w:r>
            <w:r>
              <w:rPr>
                <w:rFonts w:hint="eastAsia" w:ascii="Times New Roman" w:hAnsi="Times New Roman" w:cs="Times New Roman"/>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水处理设备、锅炉、CIP设备</w:t>
            </w:r>
            <w:r>
              <w:rPr>
                <w:rFonts w:hint="eastAsia" w:ascii="Times New Roman" w:hAnsi="Times New Roman" w:cs="Times New Roman"/>
                <w:color w:val="auto"/>
                <w:kern w:val="2"/>
                <w:sz w:val="28"/>
                <w:szCs w:val="22"/>
                <w:highlight w:val="none"/>
                <w:lang w:val="en-US" w:eastAsia="zh-CN" w:bidi="ar-SA"/>
              </w:rPr>
              <w:t>等</w:t>
            </w:r>
          </w:p>
        </w:tc>
      </w:tr>
    </w:tbl>
    <w:p w14:paraId="7629C7D1">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供水设施能根据需要供应足够的</w:t>
      </w:r>
      <w:r>
        <w:rPr>
          <w:rFonts w:hint="eastAsia" w:ascii="Times New Roman" w:hAnsi="Times New Roman"/>
          <w:color w:val="auto"/>
          <w:sz w:val="28"/>
          <w:szCs w:val="22"/>
          <w:highlight w:val="none"/>
          <w:lang w:val="en-US" w:eastAsia="zh-CN"/>
        </w:rPr>
        <w:t>用水</w:t>
      </w:r>
      <w:r>
        <w:rPr>
          <w:rFonts w:hint="eastAsia" w:ascii="Times New Roman" w:hAnsi="Times New Roman"/>
          <w:color w:val="auto"/>
          <w:sz w:val="28"/>
          <w:szCs w:val="22"/>
          <w:highlight w:val="none"/>
        </w:rPr>
        <w:t>，所供水符合《生活饮用水卫生标准》（GB 5749）的规定，供应加工用水的管道或容器避免污染。使用完全独立的管道供应辅助用水（如冷却水）并标识（如使用不同颜色），辅助用水管道与加工用水管道不能有交叉连接或发生虹吸</w:t>
      </w:r>
      <w:r>
        <w:rPr>
          <w:rFonts w:hint="eastAsia" w:ascii="Times New Roman" w:hAnsi="Times New Roman"/>
          <w:color w:val="auto"/>
          <w:sz w:val="28"/>
          <w:szCs w:val="22"/>
          <w:highlight w:val="none"/>
          <w:lang w:eastAsia="zh-CN"/>
        </w:rPr>
        <w:t>。</w:t>
      </w:r>
    </w:p>
    <w:p w14:paraId="4E0519A2">
      <w:pPr>
        <w:pStyle w:val="9"/>
        <w:numPr>
          <w:ilvl w:val="0"/>
          <w:numId w:val="2"/>
        </w:numPr>
        <w:spacing w:line="240" w:lineRule="auto"/>
        <w:rPr>
          <w:rFonts w:hint="eastAsia" w:ascii="Times New Roman" w:hAnsi="Times New Roman"/>
          <w:color w:val="auto"/>
          <w:sz w:val="28"/>
          <w:szCs w:val="22"/>
          <w:highlight w:val="none"/>
        </w:rPr>
      </w:pPr>
      <w:r>
        <w:rPr>
          <w:color w:val="auto"/>
          <w:spacing w:val="9"/>
          <w:sz w:val="28"/>
          <w:szCs w:val="22"/>
          <w:highlight w:val="none"/>
        </w:rPr>
        <w:t>设备设施</w:t>
      </w:r>
      <w:r>
        <w:rPr>
          <w:rFonts w:hint="eastAsia"/>
          <w:color w:val="auto"/>
          <w:spacing w:val="9"/>
          <w:sz w:val="28"/>
          <w:szCs w:val="22"/>
          <w:highlight w:val="none"/>
          <w:lang w:eastAsia="zh-CN"/>
        </w:rPr>
        <w:t>、</w:t>
      </w:r>
      <w:r>
        <w:rPr>
          <w:color w:val="auto"/>
          <w:spacing w:val="9"/>
          <w:sz w:val="28"/>
          <w:szCs w:val="22"/>
          <w:highlight w:val="none"/>
        </w:rPr>
        <w:t>工器具的设计考</w:t>
      </w:r>
      <w:r>
        <w:rPr>
          <w:rFonts w:cs="Times New Roman"/>
          <w:color w:val="auto"/>
          <w:spacing w:val="9"/>
          <w:sz w:val="28"/>
          <w:szCs w:val="22"/>
          <w:highlight w:val="none"/>
        </w:rPr>
        <w:t>虑</w:t>
      </w:r>
      <w:r>
        <w:rPr>
          <w:rFonts w:hint="eastAsia" w:cs="Times New Roman"/>
          <w:color w:val="auto"/>
          <w:spacing w:val="9"/>
          <w:sz w:val="28"/>
          <w:szCs w:val="22"/>
          <w:highlight w:val="none"/>
          <w:lang w:val="en-US" w:eastAsia="zh-CN"/>
        </w:rPr>
        <w:t>食品</w:t>
      </w:r>
      <w:r>
        <w:rPr>
          <w:rFonts w:cs="Times New Roman"/>
          <w:color w:val="auto"/>
          <w:spacing w:val="9"/>
          <w:sz w:val="28"/>
          <w:szCs w:val="22"/>
          <w:highlight w:val="none"/>
        </w:rPr>
        <w:t>安</w:t>
      </w:r>
      <w:r>
        <w:rPr>
          <w:color w:val="auto"/>
          <w:spacing w:val="9"/>
          <w:sz w:val="28"/>
          <w:szCs w:val="22"/>
          <w:highlight w:val="none"/>
        </w:rPr>
        <w:t>全</w:t>
      </w:r>
      <w:r>
        <w:rPr>
          <w:color w:val="auto"/>
          <w:spacing w:val="8"/>
          <w:sz w:val="28"/>
          <w:szCs w:val="22"/>
          <w:highlight w:val="none"/>
        </w:rPr>
        <w:t>和污</w:t>
      </w:r>
      <w:r>
        <w:rPr>
          <w:color w:val="auto"/>
          <w:spacing w:val="5"/>
          <w:sz w:val="28"/>
          <w:szCs w:val="22"/>
          <w:highlight w:val="none"/>
        </w:rPr>
        <w:t>染风险，便于进行彻底的清洗消毒</w:t>
      </w:r>
      <w:r>
        <w:rPr>
          <w:rFonts w:hint="eastAsia"/>
          <w:color w:val="auto"/>
          <w:spacing w:val="5"/>
          <w:sz w:val="28"/>
          <w:szCs w:val="22"/>
          <w:highlight w:val="none"/>
          <w:lang w:eastAsia="zh-CN"/>
        </w:rPr>
        <w:t>。</w:t>
      </w:r>
      <w:r>
        <w:rPr>
          <w:rFonts w:hint="eastAsia"/>
          <w:color w:val="auto"/>
          <w:spacing w:val="5"/>
          <w:sz w:val="28"/>
          <w:szCs w:val="22"/>
          <w:highlight w:val="none"/>
          <w:lang w:val="en-US" w:eastAsia="zh-CN"/>
        </w:rPr>
        <w:t>准清洁区的管道罐体采用CIP清洗消毒。清洁作业区的设备采用75%酒精消毒。</w:t>
      </w:r>
      <w:r>
        <w:rPr>
          <w:rFonts w:hint="eastAsia" w:ascii="Times New Roman" w:hAnsi="Times New Roman" w:cs="Times New Roman"/>
          <w:color w:val="auto"/>
          <w:sz w:val="28"/>
          <w:szCs w:val="28"/>
        </w:rPr>
        <w:t>检查清洗剂和消毒剂浓度（或参数），验证</w:t>
      </w:r>
      <w:r>
        <w:rPr>
          <w:rFonts w:hint="eastAsia" w:ascii="Times New Roman" w:hAnsi="Times New Roman" w:cs="Times New Roman"/>
          <w:color w:val="auto"/>
          <w:sz w:val="28"/>
          <w:szCs w:val="28"/>
          <w:lang w:val="en-US" w:eastAsia="zh-CN"/>
        </w:rPr>
        <w:t>设备</w:t>
      </w:r>
      <w:r>
        <w:rPr>
          <w:rFonts w:hint="eastAsia" w:ascii="Times New Roman" w:hAnsi="Times New Roman" w:cs="Times New Roman"/>
          <w:color w:val="auto"/>
          <w:sz w:val="28"/>
          <w:szCs w:val="28"/>
        </w:rPr>
        <w:t>的清洗消毒效果，并记录。</w:t>
      </w:r>
    </w:p>
    <w:p w14:paraId="7FF256E9">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按照产品执行标准</w:t>
      </w:r>
      <w:r>
        <w:rPr>
          <w:rFonts w:hint="eastAsia" w:ascii="Times New Roman" w:hAnsi="Times New Roman"/>
          <w:color w:val="auto"/>
          <w:sz w:val="28"/>
          <w:szCs w:val="22"/>
          <w:highlight w:val="none"/>
          <w:lang w:eastAsia="zh-CN"/>
        </w:rPr>
        <w:t>（QB/T 4572）</w:t>
      </w:r>
      <w:r>
        <w:rPr>
          <w:rFonts w:hint="eastAsia" w:ascii="Times New Roman" w:hAnsi="Times New Roman"/>
          <w:color w:val="auto"/>
          <w:sz w:val="28"/>
          <w:szCs w:val="22"/>
          <w:highlight w:val="none"/>
        </w:rPr>
        <w:t>及检验管理制度中规定的检验项目进行检验。配备满足原料、半成品、成品检验所需的检验设备设施，并确保检验设备设施的性能、精度满足检验要求。检验设备设施的数量与企业生产能力相适应。</w:t>
      </w:r>
      <w:r>
        <w:rPr>
          <w:rFonts w:hint="eastAsia" w:ascii="Times New Roman" w:hAnsi="Times New Roman"/>
          <w:color w:val="auto"/>
          <w:sz w:val="28"/>
          <w:szCs w:val="22"/>
          <w:highlight w:val="none"/>
          <w:lang w:val="en-US" w:eastAsia="zh-CN"/>
        </w:rPr>
        <w:t>出厂</w:t>
      </w:r>
      <w:r>
        <w:rPr>
          <w:rFonts w:hint="eastAsia" w:ascii="Times New Roman" w:hAnsi="Times New Roman"/>
          <w:color w:val="auto"/>
          <w:sz w:val="28"/>
          <w:szCs w:val="22"/>
          <w:highlight w:val="none"/>
        </w:rPr>
        <w:t>检验项目及检验设备设施见表</w:t>
      </w:r>
      <w:r>
        <w:rPr>
          <w:rFonts w:hint="eastAsia" w:ascii="Times New Roman" w:hAnsi="Times New Roman"/>
          <w:color w:val="auto"/>
          <w:sz w:val="28"/>
          <w:szCs w:val="22"/>
          <w:highlight w:val="none"/>
          <w:lang w:val="en-US" w:eastAsia="zh-CN"/>
        </w:rPr>
        <w:t>3。</w:t>
      </w:r>
    </w:p>
    <w:p w14:paraId="3EF82378">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4"/>
          <w:szCs w:val="24"/>
          <w:highlight w:val="none"/>
        </w:rPr>
      </w:pPr>
      <w:r>
        <w:rPr>
          <w:rFonts w:hint="eastAsia" w:ascii="Times New Roman" w:hAnsi="Times New Roman" w:cs="Times New Roman"/>
          <w:color w:val="auto"/>
          <w:sz w:val="28"/>
          <w:szCs w:val="22"/>
          <w:highlight w:val="none"/>
        </w:rPr>
        <w:t xml:space="preserve">表 </w:t>
      </w:r>
      <w:r>
        <w:rPr>
          <w:rFonts w:hint="eastAsia" w:ascii="Times New Roman" w:hAnsi="Times New Roman" w:cs="Times New Roman"/>
          <w:color w:val="auto"/>
          <w:sz w:val="28"/>
          <w:szCs w:val="22"/>
          <w:highlight w:val="none"/>
          <w:lang w:val="en-US" w:eastAsia="zh-CN"/>
        </w:rPr>
        <w:t>3 出厂</w:t>
      </w:r>
      <w:r>
        <w:rPr>
          <w:rFonts w:hint="eastAsia" w:ascii="Times New Roman" w:hAnsi="Times New Roman" w:cs="Times New Roman"/>
          <w:color w:val="auto"/>
          <w:sz w:val="28"/>
          <w:szCs w:val="22"/>
          <w:highlight w:val="none"/>
        </w:rPr>
        <w:t>检验项目及检验设备设施</w:t>
      </w:r>
    </w:p>
    <w:tbl>
      <w:tblPr>
        <w:tblStyle w:val="37"/>
        <w:tblW w:w="8857" w:type="dxa"/>
        <w:tblInd w:w="2"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2620"/>
        <w:gridCol w:w="6237"/>
      </w:tblGrid>
      <w:tr w14:paraId="5A84BB3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620" w:type="dxa"/>
            <w:noWrap w:val="0"/>
            <w:vAlign w:val="center"/>
          </w:tcPr>
          <w:p w14:paraId="06F550BC">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cs="Times New Roman"/>
                <w:color w:val="auto"/>
                <w:sz w:val="28"/>
                <w:szCs w:val="22"/>
                <w:highlight w:val="none"/>
              </w:rPr>
              <w:t>检验项目</w:t>
            </w:r>
          </w:p>
        </w:tc>
        <w:tc>
          <w:tcPr>
            <w:tcW w:w="6237" w:type="dxa"/>
            <w:noWrap w:val="0"/>
            <w:vAlign w:val="center"/>
          </w:tcPr>
          <w:p w14:paraId="39C9BEC3">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cs="Times New Roman"/>
                <w:color w:val="auto"/>
                <w:sz w:val="28"/>
                <w:szCs w:val="22"/>
                <w:highlight w:val="none"/>
              </w:rPr>
              <w:t>检验设备设施</w:t>
            </w:r>
          </w:p>
        </w:tc>
      </w:tr>
      <w:tr w14:paraId="3CC0909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2620" w:type="dxa"/>
            <w:noWrap w:val="0"/>
            <w:vAlign w:val="center"/>
          </w:tcPr>
          <w:p w14:paraId="176E1C29">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cs="Times New Roman"/>
                <w:color w:val="auto"/>
                <w:sz w:val="28"/>
                <w:szCs w:val="22"/>
                <w:highlight w:val="none"/>
              </w:rPr>
              <w:t>感官指标</w:t>
            </w:r>
          </w:p>
        </w:tc>
        <w:tc>
          <w:tcPr>
            <w:tcW w:w="6237" w:type="dxa"/>
            <w:noWrap w:val="0"/>
            <w:vAlign w:val="center"/>
          </w:tcPr>
          <w:p w14:paraId="5CD794AD">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cs="Times New Roman"/>
                <w:color w:val="auto"/>
                <w:sz w:val="28"/>
                <w:szCs w:val="22"/>
                <w:highlight w:val="none"/>
              </w:rPr>
              <w:t>白瓷盘、玻璃器皿等</w:t>
            </w:r>
          </w:p>
        </w:tc>
      </w:tr>
      <w:tr w14:paraId="4AED16C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620" w:type="dxa"/>
            <w:noWrap w:val="0"/>
            <w:vAlign w:val="center"/>
          </w:tcPr>
          <w:p w14:paraId="29293F85">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cs="Times New Roman"/>
                <w:color w:val="auto"/>
                <w:sz w:val="28"/>
                <w:szCs w:val="22"/>
                <w:highlight w:val="none"/>
              </w:rPr>
              <w:t>净含量</w:t>
            </w:r>
          </w:p>
        </w:tc>
        <w:tc>
          <w:tcPr>
            <w:tcW w:w="6237" w:type="dxa"/>
            <w:noWrap w:val="0"/>
            <w:vAlign w:val="center"/>
          </w:tcPr>
          <w:p w14:paraId="5C0C3908">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lang w:eastAsia="zh-CN"/>
              </w:rPr>
            </w:pPr>
            <w:r>
              <w:rPr>
                <w:rFonts w:hint="eastAsia" w:ascii="Times New Roman" w:hAnsi="Times New Roman" w:cs="Times New Roman"/>
                <w:color w:val="auto"/>
                <w:sz w:val="28"/>
                <w:szCs w:val="22"/>
                <w:highlight w:val="none"/>
              </w:rPr>
              <w:t>电子天平</w:t>
            </w:r>
            <w:r>
              <w:rPr>
                <w:rFonts w:hint="eastAsia" w:ascii="Times New Roman" w:hAnsi="Times New Roman" w:cs="Times New Roman"/>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精度</w:t>
            </w:r>
            <w:r>
              <w:rPr>
                <w:rFonts w:hint="eastAsia" w:ascii="Times New Roman" w:hAnsi="Times New Roman" w:cs="Times New Roman"/>
                <w:color w:val="auto"/>
                <w:sz w:val="28"/>
                <w:szCs w:val="22"/>
                <w:highlight w:val="none"/>
                <w:lang w:eastAsia="zh-CN"/>
              </w:rPr>
              <w:t>0.1g）</w:t>
            </w:r>
          </w:p>
        </w:tc>
      </w:tr>
      <w:tr w14:paraId="38AFDCA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2620" w:type="dxa"/>
            <w:noWrap w:val="0"/>
            <w:vAlign w:val="center"/>
          </w:tcPr>
          <w:p w14:paraId="0DE37084">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eastAsia="仿宋_GB2312" w:cs="Times New Roman"/>
                <w:color w:val="auto"/>
                <w:sz w:val="28"/>
                <w:szCs w:val="22"/>
                <w:highlight w:val="none"/>
                <w:lang w:val="en-US" w:eastAsia="zh-CN"/>
              </w:rPr>
              <w:t>酵母β-葡聚糖含量</w:t>
            </w:r>
          </w:p>
        </w:tc>
        <w:tc>
          <w:tcPr>
            <w:tcW w:w="6237" w:type="dxa"/>
            <w:noWrap w:val="0"/>
            <w:vAlign w:val="center"/>
          </w:tcPr>
          <w:p w14:paraId="0BBC555C">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lang w:eastAsia="zh-CN"/>
              </w:rPr>
            </w:pPr>
            <w:r>
              <w:rPr>
                <w:rFonts w:hint="eastAsia" w:ascii="Times New Roman" w:hAnsi="Times New Roman" w:cs="Times New Roman"/>
                <w:color w:val="auto"/>
                <w:sz w:val="28"/>
                <w:szCs w:val="22"/>
                <w:highlight w:val="none"/>
              </w:rPr>
              <w:t>涡旋混合器</w:t>
            </w:r>
            <w:r>
              <w:rPr>
                <w:rFonts w:hint="eastAsia" w:ascii="Times New Roman" w:hAnsi="Times New Roman" w:cs="Times New Roman"/>
                <w:color w:val="auto"/>
                <w:sz w:val="28"/>
                <w:szCs w:val="22"/>
                <w:highlight w:val="none"/>
                <w:lang w:eastAsia="zh-CN"/>
              </w:rPr>
              <w:t>、</w:t>
            </w:r>
            <w:r>
              <w:rPr>
                <w:rFonts w:hint="eastAsia" w:ascii="Times New Roman" w:hAnsi="Times New Roman" w:cs="Times New Roman"/>
                <w:color w:val="auto"/>
                <w:sz w:val="28"/>
                <w:szCs w:val="22"/>
                <w:highlight w:val="none"/>
              </w:rPr>
              <w:t>高效液相色谱仪</w:t>
            </w:r>
            <w:r>
              <w:rPr>
                <w:rFonts w:hint="eastAsia" w:ascii="Times New Roman" w:hAnsi="Times New Roman" w:cs="Times New Roman"/>
                <w:color w:val="auto"/>
                <w:sz w:val="28"/>
                <w:szCs w:val="22"/>
                <w:highlight w:val="none"/>
                <w:lang w:eastAsia="zh-CN"/>
              </w:rPr>
              <w:t>、</w:t>
            </w:r>
          </w:p>
          <w:p w14:paraId="72D44885">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8"/>
                <w:szCs w:val="22"/>
                <w:highlight w:val="none"/>
                <w:lang w:val="en-US" w:eastAsia="zh-CN"/>
              </w:rPr>
            </w:pPr>
            <w:r>
              <w:rPr>
                <w:rFonts w:hint="eastAsia" w:ascii="Times New Roman" w:hAnsi="Times New Roman" w:cs="Times New Roman"/>
                <w:color w:val="auto"/>
                <w:sz w:val="28"/>
                <w:szCs w:val="22"/>
                <w:highlight w:val="none"/>
                <w:lang w:val="en-US" w:eastAsia="zh-CN"/>
              </w:rPr>
              <w:t>恒温水浴锅、高压灭菌锅、酸度计</w:t>
            </w:r>
          </w:p>
        </w:tc>
      </w:tr>
      <w:tr w14:paraId="0EA12E1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2620" w:type="dxa"/>
            <w:noWrap w:val="0"/>
            <w:vAlign w:val="center"/>
          </w:tcPr>
          <w:p w14:paraId="74B90E29">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eastAsia="仿宋_GB2312" w:cs="Times New Roman"/>
                <w:color w:val="auto"/>
                <w:sz w:val="28"/>
                <w:szCs w:val="22"/>
                <w:highlight w:val="none"/>
                <w:lang w:val="en-US" w:eastAsia="zh-CN"/>
              </w:rPr>
              <w:t>水分</w:t>
            </w:r>
          </w:p>
        </w:tc>
        <w:tc>
          <w:tcPr>
            <w:tcW w:w="6237" w:type="dxa"/>
            <w:noWrap w:val="0"/>
            <w:vAlign w:val="center"/>
          </w:tcPr>
          <w:p w14:paraId="4A3F5CDD">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8"/>
                <w:szCs w:val="22"/>
                <w:highlight w:val="none"/>
                <w:lang w:val="en-US"/>
              </w:rPr>
            </w:pPr>
            <w:r>
              <w:rPr>
                <w:rFonts w:hint="eastAsia" w:ascii="Times New Roman" w:hAnsi="Times New Roman" w:cs="Times New Roman"/>
                <w:color w:val="auto"/>
                <w:sz w:val="28"/>
                <w:szCs w:val="22"/>
                <w:highlight w:val="none"/>
              </w:rPr>
              <w:t>电子天平</w:t>
            </w:r>
            <w:r>
              <w:rPr>
                <w:rFonts w:hint="eastAsia" w:ascii="Times New Roman" w:hAnsi="Times New Roman" w:cs="Times New Roman"/>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精度</w:t>
            </w:r>
            <w:r>
              <w:rPr>
                <w:rFonts w:hint="eastAsia" w:ascii="Times New Roman" w:hAnsi="Times New Roman" w:cs="Times New Roman"/>
                <w:color w:val="auto"/>
                <w:sz w:val="28"/>
                <w:szCs w:val="22"/>
                <w:highlight w:val="none"/>
                <w:lang w:eastAsia="zh-CN"/>
              </w:rPr>
              <w:t>0.1</w:t>
            </w:r>
            <w:r>
              <w:rPr>
                <w:rFonts w:hint="eastAsia" w:ascii="Times New Roman" w:hAnsi="Times New Roman" w:cs="Times New Roman"/>
                <w:color w:val="auto"/>
                <w:sz w:val="28"/>
                <w:szCs w:val="22"/>
                <w:highlight w:val="none"/>
                <w:lang w:val="en-US" w:eastAsia="zh-CN"/>
              </w:rPr>
              <w:t>m</w:t>
            </w:r>
            <w:r>
              <w:rPr>
                <w:rFonts w:hint="eastAsia" w:ascii="Times New Roman" w:hAnsi="Times New Roman" w:cs="Times New Roman"/>
                <w:color w:val="auto"/>
                <w:sz w:val="28"/>
                <w:szCs w:val="22"/>
                <w:highlight w:val="none"/>
                <w:lang w:eastAsia="zh-CN"/>
              </w:rPr>
              <w:t>g）、</w:t>
            </w:r>
            <w:r>
              <w:rPr>
                <w:rFonts w:hint="eastAsia" w:ascii="Times New Roman" w:hAnsi="Times New Roman" w:cs="Times New Roman"/>
                <w:color w:val="auto"/>
                <w:sz w:val="28"/>
                <w:szCs w:val="22"/>
                <w:highlight w:val="none"/>
                <w:lang w:val="en-US" w:eastAsia="zh-CN"/>
              </w:rPr>
              <w:t>干燥箱</w:t>
            </w:r>
          </w:p>
        </w:tc>
      </w:tr>
      <w:tr w14:paraId="3951899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2620" w:type="dxa"/>
            <w:noWrap w:val="0"/>
            <w:vAlign w:val="center"/>
          </w:tcPr>
          <w:p w14:paraId="277F928A">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auto"/>
                <w:sz w:val="28"/>
                <w:szCs w:val="22"/>
                <w:highlight w:val="none"/>
                <w:lang w:val="en-US" w:eastAsia="zh-CN"/>
              </w:rPr>
            </w:pPr>
            <w:r>
              <w:rPr>
                <w:rFonts w:hint="eastAsia" w:ascii="Times New Roman" w:hAnsi="Times New Roman" w:eastAsia="仿宋_GB2312" w:cs="Times New Roman"/>
                <w:color w:val="auto"/>
                <w:sz w:val="28"/>
                <w:szCs w:val="22"/>
                <w:highlight w:val="none"/>
                <w:lang w:val="en-US" w:eastAsia="zh-CN"/>
              </w:rPr>
              <w:t>菌落总数</w:t>
            </w:r>
            <w:r>
              <w:rPr>
                <w:rFonts w:hint="eastAsia" w:ascii="Times New Roman" w:hAnsi="Times New Roman" w:cs="Times New Roman"/>
                <w:color w:val="auto"/>
                <w:sz w:val="28"/>
                <w:szCs w:val="22"/>
                <w:highlight w:val="none"/>
                <w:lang w:val="en-US" w:eastAsia="zh-CN"/>
              </w:rPr>
              <w:t>、</w:t>
            </w:r>
            <w:r>
              <w:rPr>
                <w:rFonts w:hint="eastAsia" w:ascii="Times New Roman" w:hAnsi="Times New Roman" w:eastAsia="仿宋_GB2312" w:cs="Times New Roman"/>
                <w:color w:val="auto"/>
                <w:sz w:val="28"/>
                <w:szCs w:val="22"/>
                <w:highlight w:val="none"/>
                <w:lang w:val="en-US" w:eastAsia="zh-CN"/>
              </w:rPr>
              <w:t>大肠菌群</w:t>
            </w:r>
          </w:p>
        </w:tc>
        <w:tc>
          <w:tcPr>
            <w:tcW w:w="6237" w:type="dxa"/>
            <w:noWrap w:val="0"/>
            <w:vAlign w:val="center"/>
          </w:tcPr>
          <w:p w14:paraId="4CD8142C">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8"/>
                <w:szCs w:val="22"/>
                <w:highlight w:val="none"/>
              </w:rPr>
            </w:pPr>
            <w:r>
              <w:rPr>
                <w:rFonts w:hint="eastAsia" w:ascii="Times New Roman" w:hAnsi="Times New Roman" w:cs="Times New Roman"/>
                <w:color w:val="auto"/>
                <w:sz w:val="28"/>
                <w:szCs w:val="22"/>
                <w:highlight w:val="none"/>
              </w:rPr>
              <w:t>无菌室（或超净工作台）、灭菌锅、微生物培养箱、生物显微镜（或菌落计数器）</w:t>
            </w:r>
            <w:r>
              <w:rPr>
                <w:rFonts w:hint="eastAsia" w:ascii="Times New Roman" w:hAnsi="Times New Roman" w:cs="Times New Roman"/>
                <w:color w:val="auto"/>
                <w:sz w:val="28"/>
                <w:szCs w:val="22"/>
                <w:highlight w:val="none"/>
                <w:lang w:val="en-US" w:eastAsia="zh-CN"/>
              </w:rPr>
              <w:t>、恒温水浴锅</w:t>
            </w:r>
          </w:p>
        </w:tc>
      </w:tr>
    </w:tbl>
    <w:p w14:paraId="51A3D9DE">
      <w:pPr>
        <w:pStyle w:val="9"/>
        <w:tabs>
          <w:tab w:val="left" w:pos="0"/>
        </w:tabs>
        <w:spacing w:line="240" w:lineRule="auto"/>
        <w:ind w:left="-2" w:leftChars="-1" w:firstLine="1"/>
        <w:jc w:val="center"/>
        <w:rPr>
          <w:rFonts w:ascii="方正小标宋简体" w:hAnsi="Times New Roman" w:eastAsia="方正小标宋简体"/>
          <w:color w:val="auto"/>
          <w:sz w:val="28"/>
          <w:szCs w:val="22"/>
          <w:highlight w:val="none"/>
        </w:rPr>
      </w:pPr>
      <w:r>
        <w:rPr>
          <w:rFonts w:hint="eastAsia" w:ascii="方正小标宋简体" w:hAnsi="Times New Roman" w:eastAsia="方正小标宋简体"/>
          <w:color w:val="auto"/>
          <w:sz w:val="28"/>
          <w:szCs w:val="22"/>
          <w:highlight w:val="none"/>
        </w:rPr>
        <w:t>第四节 设备布局和工艺流程</w:t>
      </w:r>
    </w:p>
    <w:p w14:paraId="34EC7E9B">
      <w:pPr>
        <w:pStyle w:val="9"/>
        <w:numPr>
          <w:ilvl w:val="0"/>
          <w:numId w:val="2"/>
        </w:numPr>
        <w:spacing w:line="240" w:lineRule="auto"/>
        <w:jc w:val="left"/>
        <w:rPr>
          <w:rFonts w:hint="eastAsia" w:ascii="Times New Roman" w:hAnsi="Times New Roman" w:eastAsia="仿宋_GB2312"/>
          <w:color w:val="auto"/>
          <w:sz w:val="28"/>
          <w:szCs w:val="22"/>
          <w:highlight w:val="none"/>
          <w:lang w:val="en-US" w:eastAsia="zh-CN"/>
        </w:rPr>
      </w:pPr>
      <w:r>
        <w:rPr>
          <w:rFonts w:hint="eastAsia" w:ascii="Times New Roman" w:hAnsi="Times New Roman"/>
          <w:color w:val="auto"/>
          <w:sz w:val="28"/>
          <w:szCs w:val="22"/>
          <w:highlight w:val="none"/>
        </w:rPr>
        <w:t>具备合理的生产设备布局和工艺流程，避免交叉污染。生产工艺流程</w:t>
      </w:r>
      <w:r>
        <w:rPr>
          <w:rFonts w:hint="eastAsia" w:ascii="Times New Roman" w:hAnsi="Times New Roman"/>
          <w:color w:val="auto"/>
          <w:sz w:val="28"/>
          <w:szCs w:val="22"/>
          <w:highlight w:val="none"/>
          <w:lang w:val="en-US" w:eastAsia="zh-CN"/>
        </w:rPr>
        <w:t>如下：</w:t>
      </w:r>
    </w:p>
    <w:p w14:paraId="3091C3B4">
      <w:pPr>
        <w:pStyle w:val="9"/>
        <w:numPr>
          <w:ilvl w:val="0"/>
          <w:numId w:val="0"/>
        </w:numPr>
        <w:spacing w:line="240" w:lineRule="auto"/>
        <w:ind w:left="680" w:leftChars="0"/>
        <w:jc w:val="both"/>
        <w:rPr>
          <w:rFonts w:hint="eastAsia" w:ascii="Times New Roman" w:hAnsi="Times New Roman" w:eastAsia="仿宋_GB2312"/>
          <w:color w:val="auto"/>
          <w:sz w:val="28"/>
          <w:szCs w:val="22"/>
          <w:highlight w:val="none"/>
          <w:lang w:val="en-US" w:eastAsia="zh-CN"/>
        </w:rPr>
      </w:pPr>
      <w:r>
        <w:rPr>
          <w:color w:val="auto"/>
        </w:rPr>
        <w:drawing>
          <wp:inline distT="0" distB="0" distL="114300" distR="114300">
            <wp:extent cx="4270375" cy="5373370"/>
            <wp:effectExtent l="0" t="0" r="6350"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4270375" cy="5373370"/>
                    </a:xfrm>
                    <a:prstGeom prst="rect">
                      <a:avLst/>
                    </a:prstGeom>
                    <a:noFill/>
                    <a:ln>
                      <a:noFill/>
                    </a:ln>
                  </pic:spPr>
                </pic:pic>
              </a:graphicData>
            </a:graphic>
          </wp:inline>
        </w:drawing>
      </w:r>
    </w:p>
    <w:p w14:paraId="5B429132">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lang w:eastAsia="zh-CN"/>
        </w:rPr>
        <w:t>制定产品配方、工艺规程等工艺文件，并设立相应的控制措施。</w:t>
      </w:r>
      <w:r>
        <w:rPr>
          <w:rFonts w:hint="eastAsia" w:ascii="Times New Roman" w:hAnsi="Times New Roman"/>
          <w:color w:val="auto"/>
          <w:sz w:val="28"/>
          <w:szCs w:val="22"/>
          <w:highlight w:val="none"/>
        </w:rPr>
        <w:t>关键控制环节为：原辅料验收</w:t>
      </w:r>
      <w:r>
        <w:rPr>
          <w:rFonts w:hint="eastAsia" w:ascii="Times New Roman" w:hAnsi="Times New Roman"/>
          <w:color w:val="auto"/>
          <w:sz w:val="28"/>
          <w:szCs w:val="22"/>
          <w:highlight w:val="none"/>
          <w:lang w:eastAsia="zh-CN"/>
        </w:rPr>
        <w:t>，</w:t>
      </w:r>
      <w:r>
        <w:rPr>
          <w:rFonts w:hint="eastAsia" w:ascii="Times New Roman" w:hAnsi="Times New Roman"/>
          <w:color w:val="auto"/>
          <w:sz w:val="28"/>
          <w:szCs w:val="22"/>
          <w:highlight w:val="none"/>
        </w:rPr>
        <w:t>配料</w:t>
      </w:r>
      <w:r>
        <w:rPr>
          <w:rFonts w:hint="eastAsia" w:ascii="Times New Roman" w:hAnsi="Times New Roman"/>
          <w:color w:val="auto"/>
          <w:sz w:val="28"/>
          <w:szCs w:val="22"/>
          <w:highlight w:val="none"/>
          <w:lang w:eastAsia="zh-CN"/>
        </w:rPr>
        <w:t>，</w:t>
      </w:r>
      <w:r>
        <w:rPr>
          <w:rFonts w:hint="eastAsia" w:ascii="Times New Roman" w:hAnsi="Times New Roman"/>
          <w:color w:val="auto"/>
          <w:sz w:val="28"/>
          <w:szCs w:val="22"/>
          <w:highlight w:val="none"/>
          <w:lang w:eastAsia="zh-CN"/>
        </w:rPr>
        <w:t>重相碱处理、重相</w:t>
      </w:r>
      <w:r>
        <w:rPr>
          <w:rFonts w:hint="eastAsia" w:ascii="Times New Roman" w:hAnsi="Times New Roman"/>
          <w:color w:val="auto"/>
          <w:sz w:val="28"/>
          <w:szCs w:val="22"/>
          <w:highlight w:val="none"/>
          <w:lang w:val="en-US" w:eastAsia="zh-CN"/>
        </w:rPr>
        <w:t>酸</w:t>
      </w:r>
      <w:r>
        <w:rPr>
          <w:rFonts w:hint="eastAsia" w:ascii="Times New Roman" w:hAnsi="Times New Roman"/>
          <w:color w:val="auto"/>
          <w:sz w:val="28"/>
          <w:szCs w:val="22"/>
          <w:highlight w:val="none"/>
          <w:lang w:eastAsia="zh-CN"/>
        </w:rPr>
        <w:t>处理、</w:t>
      </w:r>
      <w:r>
        <w:rPr>
          <w:rFonts w:hint="eastAsia" w:ascii="Times New Roman" w:hAnsi="Times New Roman"/>
          <w:color w:val="auto"/>
          <w:sz w:val="28"/>
          <w:szCs w:val="22"/>
          <w:highlight w:val="none"/>
          <w:lang w:val="en-US" w:eastAsia="zh-CN"/>
        </w:rPr>
        <w:t>喷雾干燥、粉碎过筛、内包装</w:t>
      </w:r>
      <w:r>
        <w:rPr>
          <w:rFonts w:hint="eastAsia" w:ascii="Times New Roman" w:hAnsi="Times New Roman"/>
          <w:color w:val="auto"/>
          <w:sz w:val="28"/>
          <w:szCs w:val="22"/>
          <w:highlight w:val="none"/>
          <w:lang w:eastAsia="zh-CN"/>
        </w:rPr>
        <w:t>。</w:t>
      </w:r>
      <w:r>
        <w:rPr>
          <w:color w:val="auto"/>
          <w:spacing w:val="8"/>
          <w:sz w:val="28"/>
          <w:szCs w:val="22"/>
          <w:highlight w:val="none"/>
        </w:rPr>
        <w:t>符合</w:t>
      </w:r>
      <w:r>
        <w:rPr>
          <w:rFonts w:hint="eastAsia"/>
          <w:color w:val="auto"/>
          <w:spacing w:val="8"/>
          <w:sz w:val="28"/>
          <w:szCs w:val="22"/>
          <w:highlight w:val="none"/>
          <w:lang w:val="en-US" w:eastAsia="zh-CN"/>
        </w:rPr>
        <w:t>以下要求：</w:t>
      </w:r>
    </w:p>
    <w:p w14:paraId="2E3CF146">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color w:val="auto"/>
          <w:sz w:val="28"/>
          <w:szCs w:val="22"/>
          <w:highlight w:val="none"/>
        </w:rPr>
      </w:pPr>
      <w:r>
        <w:rPr>
          <w:rFonts w:hint="eastAsia"/>
          <w:color w:val="auto"/>
          <w:spacing w:val="2"/>
          <w:sz w:val="28"/>
          <w:szCs w:val="22"/>
          <w:highlight w:val="none"/>
        </w:rPr>
        <w:t>原辅料验收</w:t>
      </w:r>
      <w:r>
        <w:rPr>
          <w:color w:val="auto"/>
          <w:spacing w:val="2"/>
          <w:sz w:val="28"/>
          <w:szCs w:val="22"/>
          <w:highlight w:val="none"/>
        </w:rPr>
        <w:t>。</w:t>
      </w:r>
      <w:r>
        <w:rPr>
          <w:rFonts w:hint="eastAsia"/>
          <w:color w:val="auto"/>
          <w:spacing w:val="2"/>
          <w:sz w:val="28"/>
          <w:szCs w:val="22"/>
          <w:highlight w:val="none"/>
        </w:rPr>
        <w:t>采购合格原料，索证索票，建立进货验收台账</w:t>
      </w:r>
      <w:r>
        <w:rPr>
          <w:color w:val="auto"/>
          <w:sz w:val="28"/>
          <w:szCs w:val="22"/>
          <w:highlight w:val="none"/>
        </w:rPr>
        <w:t>。</w:t>
      </w:r>
      <w:r>
        <w:rPr>
          <w:rFonts w:hint="eastAsia"/>
          <w:color w:val="auto"/>
          <w:sz w:val="28"/>
          <w:szCs w:val="22"/>
          <w:highlight w:val="none"/>
        </w:rPr>
        <w:t>酿酒酵母</w:t>
      </w:r>
      <w:r>
        <w:rPr>
          <w:rFonts w:hint="eastAsia"/>
          <w:color w:val="auto"/>
          <w:sz w:val="28"/>
          <w:szCs w:val="22"/>
          <w:highlight w:val="none"/>
          <w:lang w:val="en-US" w:eastAsia="zh-CN"/>
        </w:rPr>
        <w:t>符合</w:t>
      </w:r>
      <w:r>
        <w:rPr>
          <w:rFonts w:hint="eastAsia"/>
          <w:color w:val="auto"/>
          <w:sz w:val="28"/>
          <w:szCs w:val="22"/>
          <w:highlight w:val="none"/>
        </w:rPr>
        <w:t>GB/T 20886.1中酒用酵母：鲜酵母或酵母乳</w:t>
      </w:r>
      <w:r>
        <w:rPr>
          <w:rFonts w:hint="eastAsia"/>
          <w:color w:val="auto"/>
          <w:sz w:val="28"/>
          <w:szCs w:val="22"/>
          <w:highlight w:val="none"/>
          <w:lang w:val="en-US" w:eastAsia="zh-CN"/>
        </w:rPr>
        <w:t>的要求</w:t>
      </w:r>
      <w:r>
        <w:rPr>
          <w:rFonts w:hint="eastAsia"/>
          <w:color w:val="auto"/>
          <w:sz w:val="28"/>
          <w:szCs w:val="22"/>
          <w:highlight w:val="none"/>
          <w:lang w:eastAsia="zh-CN"/>
        </w:rPr>
        <w:t>。</w:t>
      </w:r>
    </w:p>
    <w:p w14:paraId="7AAC01FD">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color w:val="auto"/>
          <w:spacing w:val="3"/>
          <w:sz w:val="28"/>
          <w:szCs w:val="22"/>
          <w:highlight w:val="none"/>
        </w:rPr>
        <w:t>配料。配料应用校准好的设备称量各种食品原料，并</w:t>
      </w:r>
      <w:r>
        <w:rPr>
          <w:color w:val="auto"/>
          <w:spacing w:val="12"/>
          <w:sz w:val="28"/>
          <w:szCs w:val="22"/>
          <w:highlight w:val="none"/>
        </w:rPr>
        <w:t>专人复核，</w:t>
      </w:r>
      <w:r>
        <w:rPr>
          <w:color w:val="auto"/>
          <w:spacing w:val="-77"/>
          <w:sz w:val="28"/>
          <w:szCs w:val="22"/>
          <w:highlight w:val="none"/>
        </w:rPr>
        <w:t xml:space="preserve"> </w:t>
      </w:r>
      <w:r>
        <w:rPr>
          <w:color w:val="auto"/>
          <w:spacing w:val="12"/>
          <w:sz w:val="28"/>
          <w:szCs w:val="22"/>
          <w:highlight w:val="none"/>
        </w:rPr>
        <w:t>同时监控配料中食品添加剂的使用量，严格按照</w:t>
      </w:r>
      <w:r>
        <w:rPr>
          <w:color w:val="auto"/>
          <w:spacing w:val="-62"/>
          <w:sz w:val="28"/>
          <w:szCs w:val="22"/>
          <w:highlight w:val="none"/>
        </w:rPr>
        <w:t xml:space="preserve"> </w:t>
      </w:r>
      <w:r>
        <w:rPr>
          <w:rFonts w:ascii="Times New Roman" w:hAnsi="Times New Roman" w:eastAsia="Times New Roman" w:cs="Times New Roman"/>
          <w:color w:val="auto"/>
          <w:sz w:val="28"/>
          <w:szCs w:val="22"/>
          <w:highlight w:val="none"/>
        </w:rPr>
        <w:t xml:space="preserve">GB </w:t>
      </w:r>
      <w:r>
        <w:rPr>
          <w:rFonts w:ascii="Times New Roman" w:hAnsi="Times New Roman" w:eastAsia="Times New Roman" w:cs="Times New Roman"/>
          <w:color w:val="auto"/>
          <w:spacing w:val="-1"/>
          <w:sz w:val="28"/>
          <w:szCs w:val="22"/>
          <w:highlight w:val="none"/>
        </w:rPr>
        <w:t>2760</w:t>
      </w:r>
      <w:r>
        <w:rPr>
          <w:color w:val="auto"/>
          <w:spacing w:val="-1"/>
          <w:sz w:val="28"/>
          <w:szCs w:val="22"/>
          <w:highlight w:val="none"/>
        </w:rPr>
        <w:t>的相关规定执行</w:t>
      </w:r>
      <w:r>
        <w:rPr>
          <w:color w:val="auto"/>
          <w:spacing w:val="5"/>
          <w:sz w:val="28"/>
          <w:szCs w:val="22"/>
          <w:highlight w:val="none"/>
        </w:rPr>
        <w:t>。</w:t>
      </w:r>
    </w:p>
    <w:p w14:paraId="035026E7">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ascii="Times New Roman" w:hAnsi="Times New Roman" w:cs="Times New Roman"/>
          <w:color w:val="auto"/>
          <w:sz w:val="28"/>
          <w:szCs w:val="22"/>
          <w:highlight w:val="none"/>
          <w:lang w:eastAsia="zh-CN"/>
        </w:rPr>
        <w:t>细胞破壁提取。加入酵母抽提酶（木瓜蛋白酶、地衣芽孢杆菌蛋白酶、葡萄糖），温度控制在50-60</w:t>
      </w:r>
      <w:r>
        <w:rPr>
          <w:rFonts w:hint="eastAsia" w:ascii="Times New Roman" w:hAnsi="Times New Roman" w:cs="Times New Roman"/>
          <w:color w:val="auto"/>
          <w:sz w:val="28"/>
          <w:szCs w:val="22"/>
          <w:highlight w:val="none"/>
          <w:lang w:val="en-US" w:eastAsia="zh-CN"/>
        </w:rPr>
        <w:t>℃</w:t>
      </w:r>
      <w:r>
        <w:rPr>
          <w:rFonts w:hint="eastAsia" w:ascii="Times New Roman" w:hAnsi="Times New Roman" w:cs="Times New Roman"/>
          <w:color w:val="auto"/>
          <w:sz w:val="28"/>
          <w:szCs w:val="22"/>
          <w:highlight w:val="none"/>
          <w:lang w:eastAsia="zh-CN"/>
        </w:rPr>
        <w:t>，维持</w:t>
      </w:r>
      <w:r>
        <w:rPr>
          <w:rFonts w:hint="eastAsia" w:ascii="Times New Roman" w:hAnsi="Times New Roman" w:cs="Times New Roman"/>
          <w:color w:val="auto"/>
          <w:sz w:val="28"/>
          <w:szCs w:val="22"/>
          <w:highlight w:val="none"/>
          <w:lang w:val="en-US" w:eastAsia="zh-CN"/>
        </w:rPr>
        <w:t>12</w:t>
      </w:r>
      <w:r>
        <w:rPr>
          <w:rFonts w:hint="eastAsia" w:ascii="Times New Roman" w:hAnsi="Times New Roman" w:cs="Times New Roman"/>
          <w:color w:val="auto"/>
          <w:sz w:val="28"/>
          <w:szCs w:val="22"/>
          <w:highlight w:val="none"/>
          <w:lang w:eastAsia="zh-CN"/>
        </w:rPr>
        <w:t>个小时</w:t>
      </w:r>
      <w:r>
        <w:rPr>
          <w:rFonts w:hint="eastAsia" w:ascii="Times New Roman" w:hAnsi="Times New Roman" w:cs="Times New Roman"/>
          <w:color w:val="auto"/>
          <w:sz w:val="28"/>
          <w:szCs w:val="22"/>
          <w:highlight w:val="none"/>
          <w:lang w:val="en-US" w:eastAsia="zh-CN"/>
        </w:rPr>
        <w:t>左右</w:t>
      </w:r>
      <w:r>
        <w:rPr>
          <w:rFonts w:hint="eastAsia" w:ascii="Times New Roman" w:hAnsi="Times New Roman" w:cs="Times New Roman"/>
          <w:color w:val="auto"/>
          <w:sz w:val="28"/>
          <w:szCs w:val="22"/>
          <w:highlight w:val="none"/>
          <w:lang w:eastAsia="zh-CN"/>
        </w:rPr>
        <w:t>。</w:t>
      </w:r>
    </w:p>
    <w:p w14:paraId="29966B40">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eastAsia="仿宋_GB2312"/>
          <w:color w:val="auto"/>
          <w:sz w:val="28"/>
          <w:szCs w:val="22"/>
          <w:highlight w:val="none"/>
          <w:lang w:eastAsia="zh-CN"/>
        </w:rPr>
        <w:t>轻重相分离</w:t>
      </w:r>
      <w:r>
        <w:rPr>
          <w:rFonts w:hint="eastAsia"/>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处理后的料液经碟片式离心机分离，分离的轻相（上清液）无害化处理、作为废弃物管理，重相进行后续</w:t>
      </w:r>
      <w:r>
        <w:rPr>
          <w:rFonts w:hint="eastAsia" w:ascii="Times New Roman" w:hAnsi="Times New Roman" w:cs="Times New Roman"/>
          <w:color w:val="auto"/>
          <w:sz w:val="28"/>
          <w:szCs w:val="22"/>
          <w:highlight w:val="none"/>
          <w:lang w:eastAsia="zh-CN"/>
        </w:rPr>
        <w:t>碱处理。</w:t>
      </w:r>
    </w:p>
    <w:p w14:paraId="78464E96">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ascii="Times New Roman" w:hAnsi="Times New Roman" w:cs="Times New Roman"/>
          <w:color w:val="auto"/>
          <w:sz w:val="28"/>
          <w:szCs w:val="22"/>
          <w:highlight w:val="none"/>
          <w:lang w:eastAsia="zh-CN"/>
        </w:rPr>
        <w:t>重相碱处理</w:t>
      </w:r>
      <w:r>
        <w:rPr>
          <w:rFonts w:hint="eastAsia" w:ascii="Times New Roman" w:hAnsi="Times New Roman" w:cs="Times New Roman"/>
          <w:color w:val="auto"/>
          <w:sz w:val="28"/>
          <w:szCs w:val="22"/>
          <w:highlight w:val="none"/>
          <w:lang w:val="en-US" w:eastAsia="zh-CN"/>
        </w:rPr>
        <w:t>。设置温度80-85℃，用食品添加剂氢氧化钠，调PH至12.0±0.1，维持4小时。</w:t>
      </w:r>
    </w:p>
    <w:p w14:paraId="0746B905">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eastAsia="仿宋_GB2312"/>
          <w:color w:val="auto"/>
          <w:sz w:val="28"/>
          <w:szCs w:val="22"/>
          <w:highlight w:val="none"/>
          <w:lang w:eastAsia="zh-CN"/>
        </w:rPr>
        <w:t>分离提纯（轻重相分离、水洗重相、轻重相分离）</w:t>
      </w:r>
      <w:r>
        <w:rPr>
          <w:rFonts w:hint="eastAsia"/>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处理后的料液经碟片式离心机分离，分离的轻相（上清液）无害化处理、作为废弃物管理，重相经水洗后再次轻重相分离，重相进行后续酸</w:t>
      </w:r>
      <w:r>
        <w:rPr>
          <w:rFonts w:hint="eastAsia" w:ascii="Times New Roman" w:hAnsi="Times New Roman" w:cs="Times New Roman"/>
          <w:color w:val="auto"/>
          <w:sz w:val="28"/>
          <w:szCs w:val="22"/>
          <w:highlight w:val="none"/>
          <w:lang w:eastAsia="zh-CN"/>
        </w:rPr>
        <w:t>处理。</w:t>
      </w:r>
    </w:p>
    <w:p w14:paraId="77023A4E">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ascii="Times New Roman" w:hAnsi="Times New Roman" w:cs="Times New Roman"/>
          <w:color w:val="auto"/>
          <w:sz w:val="28"/>
          <w:szCs w:val="22"/>
          <w:highlight w:val="none"/>
          <w:lang w:eastAsia="zh-CN"/>
        </w:rPr>
        <w:t>重相</w:t>
      </w:r>
      <w:r>
        <w:rPr>
          <w:rFonts w:hint="eastAsia" w:ascii="Times New Roman" w:hAnsi="Times New Roman" w:cs="Times New Roman"/>
          <w:color w:val="auto"/>
          <w:sz w:val="28"/>
          <w:szCs w:val="22"/>
          <w:highlight w:val="none"/>
          <w:lang w:val="en-US" w:eastAsia="zh-CN"/>
        </w:rPr>
        <w:t>酸</w:t>
      </w:r>
      <w:r>
        <w:rPr>
          <w:rFonts w:hint="eastAsia" w:ascii="Times New Roman" w:hAnsi="Times New Roman" w:cs="Times New Roman"/>
          <w:color w:val="auto"/>
          <w:sz w:val="28"/>
          <w:szCs w:val="22"/>
          <w:highlight w:val="none"/>
          <w:lang w:eastAsia="zh-CN"/>
        </w:rPr>
        <w:t>处理</w:t>
      </w:r>
      <w:r>
        <w:rPr>
          <w:rFonts w:hint="eastAsia" w:ascii="Times New Roman" w:hAnsi="Times New Roman" w:cs="Times New Roman"/>
          <w:color w:val="auto"/>
          <w:sz w:val="28"/>
          <w:szCs w:val="22"/>
          <w:highlight w:val="none"/>
          <w:lang w:val="en-US" w:eastAsia="zh-CN"/>
        </w:rPr>
        <w:t>。设置温度为55-65℃，用食品添加剂柠檬酸调PH至8.0±0.1，维持8小时。</w:t>
      </w:r>
    </w:p>
    <w:p w14:paraId="2AF7F5F6">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eastAsia="仿宋_GB2312"/>
          <w:color w:val="auto"/>
          <w:sz w:val="28"/>
          <w:szCs w:val="22"/>
          <w:highlight w:val="none"/>
          <w:lang w:eastAsia="zh-CN"/>
        </w:rPr>
        <w:t>分离提纯（轻重相分离、水洗重相、轻重相分离）</w:t>
      </w:r>
      <w:r>
        <w:rPr>
          <w:rFonts w:hint="eastAsia" w:ascii="Times New Roman" w:hAnsi="Times New Roman" w:cs="Times New Roman"/>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处理后的料液经碟片式离心机分离，分离的轻相（上清液）无害化处理、作为废弃物管理，重相经水洗后再次轻重相分离，得到的重相进行后续干燥。</w:t>
      </w:r>
    </w:p>
    <w:p w14:paraId="0EF056BE">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ascii="Times New Roman" w:hAnsi="Times New Roman" w:cs="Times New Roman"/>
          <w:color w:val="auto"/>
          <w:sz w:val="28"/>
          <w:szCs w:val="22"/>
          <w:highlight w:val="none"/>
          <w:lang w:val="en-US" w:eastAsia="zh-CN"/>
        </w:rPr>
        <w:t>喷雾</w:t>
      </w:r>
      <w:r>
        <w:rPr>
          <w:rFonts w:hint="eastAsia" w:ascii="Times New Roman" w:hAnsi="Times New Roman" w:cs="Times New Roman"/>
          <w:color w:val="auto"/>
          <w:sz w:val="28"/>
          <w:szCs w:val="22"/>
          <w:highlight w:val="none"/>
        </w:rPr>
        <w:t>干燥</w:t>
      </w:r>
      <w:r>
        <w:rPr>
          <w:rFonts w:hint="eastAsia" w:ascii="Times New Roman" w:hAnsi="Times New Roman" w:cs="Times New Roman"/>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物料在喷粉塔内被离心雾化，经过干燥的热风后被迅速干燥，进风温度200±10℃，出风温度80±10℃，出料水分控制在5％以内。</w:t>
      </w:r>
    </w:p>
    <w:p w14:paraId="420F95AF">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rFonts w:hint="eastAsia" w:eastAsia="仿宋_GB2312"/>
          <w:color w:val="auto"/>
          <w:sz w:val="28"/>
          <w:szCs w:val="22"/>
          <w:highlight w:val="none"/>
          <w:lang w:eastAsia="zh-CN"/>
        </w:rPr>
      </w:pPr>
      <w:r>
        <w:rPr>
          <w:rFonts w:hint="eastAsia" w:ascii="Times New Roman" w:hAnsi="Times New Roman" w:cs="Times New Roman"/>
          <w:color w:val="auto"/>
          <w:sz w:val="28"/>
          <w:szCs w:val="22"/>
          <w:highlight w:val="none"/>
          <w:lang w:eastAsia="zh-CN"/>
        </w:rPr>
        <w:t>粉碎过筛。粉碎过筛后的物料粒度</w:t>
      </w:r>
      <w:r>
        <w:rPr>
          <w:rFonts w:hint="eastAsia" w:ascii="Times New Roman" w:hAnsi="Times New Roman" w:cs="Times New Roman"/>
          <w:color w:val="auto"/>
          <w:sz w:val="28"/>
          <w:szCs w:val="22"/>
          <w:highlight w:val="none"/>
          <w:lang w:val="en-US" w:eastAsia="zh-CN"/>
        </w:rPr>
        <w:t>控制在80-100目。</w:t>
      </w:r>
    </w:p>
    <w:p w14:paraId="46371F7A">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color w:val="auto"/>
          <w:sz w:val="28"/>
          <w:szCs w:val="22"/>
          <w:highlight w:val="none"/>
        </w:rPr>
      </w:pPr>
      <w:r>
        <w:rPr>
          <w:rFonts w:hint="eastAsia"/>
          <w:color w:val="auto"/>
          <w:spacing w:val="3"/>
          <w:sz w:val="28"/>
          <w:szCs w:val="22"/>
          <w:highlight w:val="none"/>
          <w:lang w:val="en-US" w:eastAsia="zh-CN"/>
        </w:rPr>
        <w:t>内</w:t>
      </w:r>
      <w:r>
        <w:rPr>
          <w:color w:val="auto"/>
          <w:spacing w:val="3"/>
          <w:sz w:val="28"/>
          <w:szCs w:val="22"/>
          <w:highlight w:val="none"/>
        </w:rPr>
        <w:t>包装。</w:t>
      </w:r>
      <w:r>
        <w:rPr>
          <w:color w:val="auto"/>
          <w:spacing w:val="-74"/>
          <w:sz w:val="28"/>
          <w:szCs w:val="22"/>
          <w:highlight w:val="none"/>
        </w:rPr>
        <w:t xml:space="preserve"> </w:t>
      </w:r>
      <w:r>
        <w:rPr>
          <w:color w:val="auto"/>
          <w:spacing w:val="3"/>
          <w:sz w:val="28"/>
          <w:szCs w:val="22"/>
          <w:highlight w:val="none"/>
        </w:rPr>
        <w:t>内包装材料应在产品包装前经过</w:t>
      </w:r>
      <w:r>
        <w:rPr>
          <w:rFonts w:hint="eastAsia"/>
          <w:color w:val="auto"/>
          <w:spacing w:val="3"/>
          <w:sz w:val="28"/>
          <w:szCs w:val="22"/>
          <w:highlight w:val="none"/>
          <w:lang w:val="en-US" w:eastAsia="zh-CN"/>
        </w:rPr>
        <w:t>臭氧</w:t>
      </w:r>
      <w:r>
        <w:rPr>
          <w:color w:val="auto"/>
          <w:spacing w:val="3"/>
          <w:sz w:val="28"/>
          <w:szCs w:val="22"/>
          <w:highlight w:val="none"/>
        </w:rPr>
        <w:t>杀</w:t>
      </w:r>
      <w:r>
        <w:rPr>
          <w:color w:val="auto"/>
          <w:spacing w:val="10"/>
          <w:sz w:val="28"/>
          <w:szCs w:val="22"/>
          <w:highlight w:val="none"/>
        </w:rPr>
        <w:t>菌</w:t>
      </w:r>
      <w:r>
        <w:rPr>
          <w:rFonts w:hint="eastAsia"/>
          <w:color w:val="auto"/>
          <w:spacing w:val="10"/>
          <w:sz w:val="28"/>
          <w:szCs w:val="22"/>
          <w:highlight w:val="none"/>
          <w:lang w:val="en-US" w:eastAsia="zh-CN"/>
        </w:rPr>
        <w:t>30min以上</w:t>
      </w:r>
      <w:r>
        <w:rPr>
          <w:color w:val="auto"/>
          <w:spacing w:val="10"/>
          <w:sz w:val="28"/>
          <w:szCs w:val="22"/>
          <w:highlight w:val="none"/>
        </w:rPr>
        <w:t>。</w:t>
      </w:r>
      <w:r>
        <w:rPr>
          <w:rFonts w:hint="eastAsia"/>
          <w:color w:val="auto"/>
          <w:spacing w:val="10"/>
          <w:sz w:val="28"/>
          <w:szCs w:val="22"/>
          <w:highlight w:val="none"/>
        </w:rPr>
        <w:t>称量准确，封口严实。监测和记录包装封口效果</w:t>
      </w:r>
      <w:r>
        <w:rPr>
          <w:rFonts w:hint="eastAsia"/>
          <w:color w:val="auto"/>
          <w:spacing w:val="7"/>
          <w:sz w:val="28"/>
          <w:szCs w:val="22"/>
          <w:highlight w:val="none"/>
          <w:lang w:eastAsia="zh-CN"/>
        </w:rPr>
        <w:t>。</w:t>
      </w:r>
    </w:p>
    <w:p w14:paraId="610C46B2">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color w:val="auto"/>
          <w:sz w:val="28"/>
          <w:szCs w:val="22"/>
          <w:highlight w:val="none"/>
        </w:rPr>
      </w:pPr>
      <w:r>
        <w:rPr>
          <w:rFonts w:hint="eastAsia"/>
          <w:color w:val="auto"/>
          <w:spacing w:val="7"/>
          <w:sz w:val="28"/>
          <w:szCs w:val="22"/>
          <w:highlight w:val="none"/>
          <w:lang w:val="en-US" w:eastAsia="zh-CN"/>
        </w:rPr>
        <w:t>外包装：将内包装好的产品进行装纸箱等外包装。</w:t>
      </w:r>
    </w:p>
    <w:p w14:paraId="5C0DA8D1">
      <w:pPr>
        <w:pStyle w:val="9"/>
        <w:keepNext w:val="0"/>
        <w:keepLines w:val="0"/>
        <w:pageBreakBefore w:val="0"/>
        <w:widowControl w:val="0"/>
        <w:numPr>
          <w:ilvl w:val="0"/>
          <w:numId w:val="3"/>
        </w:numPr>
        <w:kinsoku/>
        <w:wordWrap/>
        <w:overflowPunct/>
        <w:topLinePunct w:val="0"/>
        <w:autoSpaceDE/>
        <w:autoSpaceDN/>
        <w:bidi w:val="0"/>
        <w:adjustRightInd/>
        <w:snapToGrid/>
        <w:spacing w:line="240" w:lineRule="auto"/>
        <w:ind w:left="13" w:firstLine="625"/>
        <w:textAlignment w:val="auto"/>
        <w:rPr>
          <w:color w:val="auto"/>
          <w:sz w:val="28"/>
          <w:szCs w:val="22"/>
          <w:highlight w:val="none"/>
        </w:rPr>
      </w:pPr>
      <w:r>
        <w:rPr>
          <w:rFonts w:hint="eastAsia"/>
          <w:color w:val="auto"/>
          <w:spacing w:val="4"/>
          <w:sz w:val="28"/>
          <w:szCs w:val="22"/>
          <w:highlight w:val="none"/>
          <w:lang w:val="en-US" w:eastAsia="zh-CN"/>
        </w:rPr>
        <w:t>入库</w:t>
      </w:r>
      <w:r>
        <w:rPr>
          <w:rFonts w:hint="eastAsia"/>
          <w:color w:val="auto"/>
          <w:spacing w:val="4"/>
          <w:sz w:val="28"/>
          <w:szCs w:val="22"/>
          <w:highlight w:val="none"/>
        </w:rPr>
        <w:t>：产品应</w:t>
      </w:r>
      <w:r>
        <w:rPr>
          <w:rFonts w:hint="eastAsia"/>
          <w:color w:val="auto"/>
          <w:spacing w:val="4"/>
          <w:sz w:val="28"/>
          <w:szCs w:val="22"/>
          <w:highlight w:val="none"/>
          <w:lang w:val="en-US" w:eastAsia="zh-CN"/>
        </w:rPr>
        <w:t>存放在</w:t>
      </w:r>
      <w:r>
        <w:rPr>
          <w:rFonts w:hint="eastAsia"/>
          <w:color w:val="auto"/>
          <w:spacing w:val="4"/>
          <w:sz w:val="28"/>
          <w:szCs w:val="22"/>
          <w:highlight w:val="none"/>
        </w:rPr>
        <w:t>清洁、通风、干燥、阴凉的室内</w:t>
      </w:r>
      <w:r>
        <w:rPr>
          <w:rFonts w:hint="eastAsia"/>
          <w:color w:val="auto"/>
          <w:spacing w:val="4"/>
          <w:sz w:val="28"/>
          <w:szCs w:val="22"/>
          <w:highlight w:val="none"/>
          <w:lang w:eastAsia="zh-CN"/>
        </w:rPr>
        <w:t>，</w:t>
      </w:r>
      <w:r>
        <w:rPr>
          <w:rFonts w:hint="eastAsia"/>
          <w:color w:val="auto"/>
          <w:spacing w:val="4"/>
          <w:sz w:val="28"/>
          <w:szCs w:val="22"/>
          <w:highlight w:val="none"/>
        </w:rPr>
        <w:t>堆放在离地10cm以上的垫板上，堆垛四周应离墙壁15cm。监测和记录贮</w:t>
      </w:r>
      <w:r>
        <w:rPr>
          <w:rFonts w:hint="eastAsia"/>
          <w:color w:val="auto"/>
          <w:spacing w:val="4"/>
          <w:sz w:val="28"/>
          <w:szCs w:val="22"/>
          <w:highlight w:val="none"/>
          <w:lang w:val="en-US" w:eastAsia="zh-CN"/>
        </w:rPr>
        <w:t>存</w:t>
      </w:r>
      <w:r>
        <w:rPr>
          <w:rFonts w:hint="eastAsia"/>
          <w:color w:val="auto"/>
          <w:spacing w:val="4"/>
          <w:sz w:val="28"/>
          <w:szCs w:val="22"/>
          <w:highlight w:val="none"/>
        </w:rPr>
        <w:t>的</w:t>
      </w:r>
      <w:r>
        <w:rPr>
          <w:rFonts w:hint="eastAsia"/>
          <w:color w:val="auto"/>
          <w:spacing w:val="4"/>
          <w:sz w:val="28"/>
          <w:szCs w:val="22"/>
          <w:highlight w:val="none"/>
          <w:lang w:val="en-US" w:eastAsia="zh-CN"/>
        </w:rPr>
        <w:t>温湿度</w:t>
      </w:r>
      <w:r>
        <w:rPr>
          <w:color w:val="auto"/>
          <w:spacing w:val="7"/>
          <w:sz w:val="28"/>
          <w:szCs w:val="22"/>
          <w:highlight w:val="none"/>
        </w:rPr>
        <w:t>。</w:t>
      </w:r>
    </w:p>
    <w:p w14:paraId="2D82EBFA">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明确产品在《食品安全国家标准 食品添加剂使用标准》（GB 2760）“食品分类系统”的最小分类号。按照GB 2760及国务院卫生行政部门相关公告的要求使用食品添加剂</w:t>
      </w:r>
      <w:r>
        <w:rPr>
          <w:rFonts w:hint="eastAsia" w:ascii="Times New Roman" w:hAnsi="Times New Roman"/>
          <w:color w:val="auto"/>
          <w:sz w:val="28"/>
          <w:szCs w:val="22"/>
          <w:highlight w:val="none"/>
          <w:lang w:eastAsia="zh-CN"/>
        </w:rPr>
        <w:t>。</w:t>
      </w:r>
    </w:p>
    <w:p w14:paraId="11A3F0E9">
      <w:pPr>
        <w:pStyle w:val="6"/>
        <w:widowControl w:val="0"/>
        <w:spacing w:before="312" w:beforeAutospacing="0" w:afterAutospacing="0" w:line="240" w:lineRule="auto"/>
        <w:jc w:val="center"/>
        <w:rPr>
          <w:rFonts w:ascii="方正小标宋简体" w:hAnsi="Times New Roman" w:eastAsia="方正小标宋简体" w:cs="Times New Roman"/>
          <w:b w:val="0"/>
          <w:bCs w:val="0"/>
          <w:color w:val="auto"/>
          <w:sz w:val="28"/>
          <w:szCs w:val="24"/>
          <w:highlight w:val="none"/>
        </w:rPr>
      </w:pPr>
      <w:r>
        <w:rPr>
          <w:rFonts w:hint="eastAsia" w:ascii="方正小标宋简体" w:hAnsi="Times New Roman" w:eastAsia="方正小标宋简体" w:cs="Times New Roman"/>
          <w:b w:val="0"/>
          <w:bCs w:val="0"/>
          <w:color w:val="auto"/>
          <w:kern w:val="2"/>
          <w:sz w:val="28"/>
          <w:szCs w:val="22"/>
          <w:highlight w:val="none"/>
        </w:rPr>
        <w:t>第五节 人员管理</w:t>
      </w:r>
    </w:p>
    <w:p w14:paraId="25460584">
      <w:pPr>
        <w:pStyle w:val="9"/>
        <w:keepNext w:val="0"/>
        <w:keepLines w:val="0"/>
        <w:pageBreakBefore w:val="0"/>
        <w:widowControl w:val="0"/>
        <w:numPr>
          <w:ilvl w:val="0"/>
          <w:numId w:val="2"/>
        </w:numPr>
        <w:kinsoku/>
        <w:wordWrap/>
        <w:overflowPunct/>
        <w:topLinePunct w:val="0"/>
        <w:autoSpaceDE/>
        <w:autoSpaceDN/>
        <w:bidi w:val="0"/>
        <w:adjustRightInd/>
        <w:snapToGrid/>
        <w:spacing w:line="240" w:lineRule="auto"/>
        <w:jc w:val="left"/>
        <w:textAlignment w:val="auto"/>
        <w:rPr>
          <w:color w:val="auto"/>
          <w:sz w:val="28"/>
          <w:szCs w:val="22"/>
          <w:highlight w:val="none"/>
        </w:rPr>
      </w:pPr>
      <w:r>
        <w:rPr>
          <w:color w:val="auto"/>
          <w:spacing w:val="22"/>
          <w:sz w:val="28"/>
          <w:szCs w:val="22"/>
          <w:highlight w:val="none"/>
        </w:rPr>
        <w:t>配备食品安全管理人员和食品安全专</w:t>
      </w:r>
      <w:r>
        <w:rPr>
          <w:color w:val="auto"/>
          <w:spacing w:val="10"/>
          <w:sz w:val="28"/>
          <w:szCs w:val="22"/>
          <w:highlight w:val="none"/>
        </w:rPr>
        <w:t>业技术人员</w:t>
      </w:r>
      <w:r>
        <w:rPr>
          <w:rFonts w:hint="eastAsia"/>
          <w:color w:val="auto"/>
          <w:spacing w:val="10"/>
          <w:sz w:val="28"/>
          <w:szCs w:val="22"/>
          <w:highlight w:val="none"/>
          <w:lang w:eastAsia="zh-CN"/>
        </w:rPr>
        <w:t>，</w:t>
      </w:r>
      <w:r>
        <w:rPr>
          <w:color w:val="auto"/>
          <w:spacing w:val="10"/>
          <w:sz w:val="28"/>
          <w:szCs w:val="22"/>
          <w:highlight w:val="none"/>
        </w:rPr>
        <w:t>食品安全专业技术人员与岗位要求相适应，人员数量满足生产、检验等需求。企业主要负责人、食品安全</w:t>
      </w:r>
      <w:r>
        <w:rPr>
          <w:color w:val="auto"/>
          <w:spacing w:val="9"/>
          <w:sz w:val="28"/>
          <w:szCs w:val="22"/>
          <w:highlight w:val="none"/>
        </w:rPr>
        <w:t>总监、食品安全员符合《食品生产经营企业落实食品安全主体</w:t>
      </w:r>
      <w:r>
        <w:rPr>
          <w:color w:val="auto"/>
          <w:spacing w:val="-6"/>
          <w:sz w:val="28"/>
          <w:szCs w:val="22"/>
          <w:highlight w:val="none"/>
        </w:rPr>
        <w:t>责任监督管理规定》。</w:t>
      </w:r>
    </w:p>
    <w:p w14:paraId="00E8011E">
      <w:pPr>
        <w:pStyle w:val="9"/>
        <w:keepNext w:val="0"/>
        <w:keepLines w:val="0"/>
        <w:pageBreakBefore w:val="0"/>
        <w:widowControl w:val="0"/>
        <w:numPr>
          <w:ilvl w:val="0"/>
          <w:numId w:val="2"/>
        </w:numPr>
        <w:kinsoku/>
        <w:wordWrap/>
        <w:overflowPunct/>
        <w:topLinePunct w:val="0"/>
        <w:autoSpaceDE/>
        <w:autoSpaceDN/>
        <w:bidi w:val="0"/>
        <w:adjustRightInd/>
        <w:snapToGrid/>
        <w:spacing w:line="240" w:lineRule="auto"/>
        <w:jc w:val="left"/>
        <w:textAlignment w:val="auto"/>
        <w:rPr>
          <w:color w:val="auto"/>
          <w:sz w:val="28"/>
          <w:szCs w:val="22"/>
          <w:highlight w:val="none"/>
        </w:rPr>
      </w:pPr>
      <w:r>
        <w:rPr>
          <w:color w:val="auto"/>
          <w:spacing w:val="9"/>
          <w:sz w:val="28"/>
          <w:szCs w:val="22"/>
          <w:highlight w:val="none"/>
        </w:rPr>
        <w:t>建立培训制度，制定培训计划，培训的</w:t>
      </w:r>
      <w:r>
        <w:rPr>
          <w:color w:val="auto"/>
          <w:spacing w:val="10"/>
          <w:sz w:val="28"/>
          <w:szCs w:val="22"/>
          <w:highlight w:val="none"/>
        </w:rPr>
        <w:t>内容与岗位相适应</w:t>
      </w:r>
      <w:r>
        <w:rPr>
          <w:rFonts w:hint="eastAsia"/>
          <w:color w:val="auto"/>
          <w:spacing w:val="10"/>
          <w:sz w:val="28"/>
          <w:szCs w:val="22"/>
          <w:highlight w:val="none"/>
          <w:lang w:eastAsia="zh-CN"/>
        </w:rPr>
        <w:t>。</w:t>
      </w:r>
      <w:r>
        <w:rPr>
          <w:color w:val="auto"/>
          <w:spacing w:val="10"/>
          <w:sz w:val="28"/>
          <w:szCs w:val="22"/>
          <w:highlight w:val="none"/>
        </w:rPr>
        <w:t>与食品安全相关岗位的人员定期培训和</w:t>
      </w:r>
      <w:r>
        <w:rPr>
          <w:color w:val="auto"/>
          <w:spacing w:val="5"/>
          <w:sz w:val="28"/>
          <w:szCs w:val="22"/>
          <w:highlight w:val="none"/>
        </w:rPr>
        <w:t>考核，不具备能力的不得上岗。</w:t>
      </w:r>
    </w:p>
    <w:p w14:paraId="3C30E632">
      <w:pPr>
        <w:pStyle w:val="9"/>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color w:val="auto"/>
          <w:sz w:val="28"/>
          <w:szCs w:val="22"/>
          <w:highlight w:val="none"/>
        </w:rPr>
      </w:pPr>
      <w:r>
        <w:rPr>
          <w:color w:val="auto"/>
          <w:spacing w:val="7"/>
          <w:sz w:val="28"/>
          <w:szCs w:val="22"/>
          <w:highlight w:val="none"/>
        </w:rPr>
        <w:t>负责清洁消毒的人员接受良好培训，</w:t>
      </w:r>
      <w:r>
        <w:rPr>
          <w:color w:val="auto"/>
          <w:spacing w:val="-84"/>
          <w:sz w:val="28"/>
          <w:szCs w:val="22"/>
          <w:highlight w:val="none"/>
        </w:rPr>
        <w:t xml:space="preserve"> </w:t>
      </w:r>
      <w:r>
        <w:rPr>
          <w:color w:val="auto"/>
          <w:spacing w:val="7"/>
          <w:sz w:val="28"/>
          <w:szCs w:val="22"/>
          <w:highlight w:val="none"/>
        </w:rPr>
        <w:t>能够正确使用清洁消毒工</w:t>
      </w:r>
      <w:r>
        <w:rPr>
          <w:rFonts w:ascii="Times New Roman" w:hAnsi="Times New Roman" w:eastAsia="Times New Roman" w:cs="Times New Roman"/>
          <w:color w:val="auto"/>
          <w:spacing w:val="7"/>
          <w:sz w:val="28"/>
          <w:szCs w:val="22"/>
          <w:highlight w:val="none"/>
        </w:rPr>
        <w:t>/</w:t>
      </w:r>
      <w:r>
        <w:rPr>
          <w:color w:val="auto"/>
          <w:spacing w:val="7"/>
          <w:sz w:val="28"/>
          <w:szCs w:val="22"/>
          <w:highlight w:val="none"/>
        </w:rPr>
        <w:t>器具及相关试剂，保证清洁和消毒作业的效果</w:t>
      </w:r>
      <w:r>
        <w:rPr>
          <w:color w:val="auto"/>
          <w:spacing w:val="1"/>
          <w:sz w:val="28"/>
          <w:szCs w:val="22"/>
          <w:highlight w:val="none"/>
        </w:rPr>
        <w:t>满足生产要求。</w:t>
      </w:r>
    </w:p>
    <w:p w14:paraId="533C52CF">
      <w:pPr>
        <w:pStyle w:val="9"/>
        <w:keepNext w:val="0"/>
        <w:keepLines w:val="0"/>
        <w:pageBreakBefore w:val="0"/>
        <w:widowControl w:val="0"/>
        <w:numPr>
          <w:ilvl w:val="0"/>
          <w:numId w:val="2"/>
        </w:numPr>
        <w:kinsoku/>
        <w:wordWrap/>
        <w:overflowPunct/>
        <w:topLinePunct w:val="0"/>
        <w:autoSpaceDE/>
        <w:autoSpaceDN/>
        <w:bidi w:val="0"/>
        <w:adjustRightInd/>
        <w:snapToGrid/>
        <w:spacing w:line="240" w:lineRule="auto"/>
        <w:jc w:val="left"/>
        <w:textAlignment w:val="auto"/>
        <w:rPr>
          <w:rFonts w:ascii="Times New Roman" w:hAnsi="Times New Roman" w:eastAsia="华文楷体"/>
          <w:b/>
          <w:bCs/>
          <w:color w:val="auto"/>
          <w:sz w:val="28"/>
          <w:szCs w:val="22"/>
          <w:highlight w:val="none"/>
        </w:rPr>
      </w:pPr>
      <w:r>
        <w:rPr>
          <w:color w:val="auto"/>
          <w:spacing w:val="10"/>
          <w:sz w:val="28"/>
          <w:szCs w:val="22"/>
          <w:highlight w:val="none"/>
        </w:rPr>
        <w:t>对食品加工人员</w:t>
      </w:r>
      <w:r>
        <w:rPr>
          <w:rFonts w:hint="eastAsia"/>
          <w:color w:val="auto"/>
          <w:spacing w:val="10"/>
          <w:sz w:val="28"/>
          <w:szCs w:val="22"/>
          <w:highlight w:val="none"/>
          <w:lang w:val="en-US" w:eastAsia="zh-CN"/>
        </w:rPr>
        <w:t>取得健康证并</w:t>
      </w:r>
      <w:r>
        <w:rPr>
          <w:color w:val="auto"/>
          <w:spacing w:val="10"/>
          <w:sz w:val="28"/>
          <w:szCs w:val="22"/>
          <w:highlight w:val="none"/>
        </w:rPr>
        <w:t>开展班前健康</w:t>
      </w:r>
      <w:r>
        <w:rPr>
          <w:color w:val="auto"/>
          <w:spacing w:val="9"/>
          <w:sz w:val="28"/>
          <w:szCs w:val="22"/>
          <w:highlight w:val="none"/>
        </w:rPr>
        <w:t>检查，并形成记</w:t>
      </w:r>
      <w:r>
        <w:rPr>
          <w:color w:val="auto"/>
          <w:spacing w:val="10"/>
          <w:sz w:val="28"/>
          <w:szCs w:val="22"/>
          <w:highlight w:val="none"/>
        </w:rPr>
        <w:t>录，防止法律法规规定的有碍食品安全疾病的人员接触</w:t>
      </w:r>
      <w:r>
        <w:rPr>
          <w:color w:val="auto"/>
          <w:sz w:val="28"/>
          <w:szCs w:val="22"/>
          <w:highlight w:val="none"/>
        </w:rPr>
        <w:t>食品。</w:t>
      </w:r>
    </w:p>
    <w:p w14:paraId="2AE60AD5">
      <w:pPr>
        <w:pStyle w:val="6"/>
        <w:widowControl w:val="0"/>
        <w:spacing w:beforeAutospacing="0" w:afterAutospacing="0" w:line="240" w:lineRule="auto"/>
        <w:jc w:val="center"/>
        <w:rPr>
          <w:rFonts w:ascii="方正小标宋简体" w:hAnsi="Times New Roman" w:eastAsia="方正小标宋简体" w:cs="Times New Roman"/>
          <w:color w:val="auto"/>
          <w:sz w:val="28"/>
          <w:szCs w:val="24"/>
          <w:highlight w:val="none"/>
        </w:rPr>
      </w:pPr>
      <w:r>
        <w:rPr>
          <w:rFonts w:hint="eastAsia" w:ascii="方正小标宋简体" w:hAnsi="Times New Roman" w:eastAsia="方正小标宋简体" w:cs="Times New Roman"/>
          <w:b w:val="0"/>
          <w:bCs w:val="0"/>
          <w:color w:val="auto"/>
          <w:kern w:val="2"/>
          <w:sz w:val="28"/>
          <w:szCs w:val="22"/>
          <w:highlight w:val="none"/>
        </w:rPr>
        <w:t>第六节 管理制度审查</w:t>
      </w:r>
    </w:p>
    <w:p w14:paraId="77BAF6F9">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制定并执行食品安全管理制度。各项制度符合《中华人民共和国食品安全法》、《食品生产许可审查通则》及《GB 14881食品安全国家标准食品生产通用卫生规范》等相关法律法规及国家标准的要求。</w:t>
      </w:r>
    </w:p>
    <w:p w14:paraId="7058A727">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进货查验记录制度，并规定采购原辅料时，查验供货者的许可证和产品合格证明，记录采购的原辅料名称、规格、数量、生产日期或者生产批号、保质期、进货日期以及供货者名称、地址、联系方式等信息，保存相关记录和凭证。</w:t>
      </w:r>
    </w:p>
    <w:p w14:paraId="220290B1">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lang w:val="en-US" w:eastAsia="zh-CN"/>
        </w:rPr>
        <w:t>制</w:t>
      </w:r>
      <w:r>
        <w:rPr>
          <w:rFonts w:hint="eastAsia" w:ascii="Times New Roman" w:hAnsi="Times New Roman"/>
          <w:color w:val="auto"/>
          <w:sz w:val="28"/>
          <w:szCs w:val="22"/>
          <w:highlight w:val="none"/>
        </w:rPr>
        <w:t>定食品原料、食品添加剂、食品相关产品供应商的选择、审核、评估程序，对供应商采用的流程和安全措施进行评估，必要时对供应商进行现场评审或对流程进行监控</w:t>
      </w:r>
      <w:r>
        <w:rPr>
          <w:rFonts w:hint="eastAsia" w:ascii="Times New Roman" w:hAnsi="Times New Roman"/>
          <w:color w:val="auto"/>
          <w:sz w:val="28"/>
          <w:szCs w:val="22"/>
          <w:highlight w:val="none"/>
          <w:lang w:eastAsia="zh-CN"/>
        </w:rPr>
        <w:t>。</w:t>
      </w:r>
    </w:p>
    <w:p w14:paraId="3CB203EE">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并执行生产过程控制制度。在关键环节所在区域，配备相关的文件如操作规程、记录表等。生产过程中原料管理（如领料、投料、余料管理等）、生产关键环节（如生产工序、设备、贮存、包装等）的控制措施实施记录，与制定的工艺文件要求一致。</w:t>
      </w:r>
    </w:p>
    <w:p w14:paraId="2FFBDE16">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食品加工人员工作期间如佩戴手套，应洗手、消毒后戴手套，且手套需经表面消毒后方可接触食品（一次性无菌手套不需要消毒）。用于加工产品的手套干净、卫生，保持良好状况，手套的材料是非渗透性的。</w:t>
      </w:r>
    </w:p>
    <w:p w14:paraId="4DA1FA5F">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并执行检验管理及出厂检验记录制度，并规定食品出厂时，查验出厂食品的检验合格证和安全状况，记录食品的名称、规格、数量、生产日期或者生产批号、保质期、销售日期以及购货者名称、地址、联系方式等信息，保存相关记录和凭证。检验管理包括原料检验</w:t>
      </w:r>
      <w:r>
        <w:rPr>
          <w:rFonts w:hint="eastAsia" w:ascii="Times New Roman" w:hAnsi="Times New Roman"/>
          <w:color w:val="auto"/>
          <w:sz w:val="28"/>
          <w:szCs w:val="22"/>
          <w:highlight w:val="none"/>
          <w:lang w:val="en-US" w:eastAsia="zh-CN"/>
        </w:rPr>
        <w:t>或验证</w:t>
      </w:r>
      <w:r>
        <w:rPr>
          <w:rFonts w:hint="eastAsia" w:ascii="Times New Roman" w:hAnsi="Times New Roman"/>
          <w:color w:val="auto"/>
          <w:sz w:val="28"/>
          <w:szCs w:val="22"/>
          <w:highlight w:val="none"/>
        </w:rPr>
        <w:t>、过程检验、出厂检验及产品留样的方式及要求，过程检验包括但不限于对半成品</w:t>
      </w:r>
      <w:r>
        <w:rPr>
          <w:rFonts w:hint="eastAsia" w:ascii="Times New Roman" w:hAnsi="Times New Roman"/>
          <w:color w:val="auto"/>
          <w:sz w:val="28"/>
          <w:szCs w:val="22"/>
          <w:highlight w:val="none"/>
          <w:lang w:val="en-US" w:eastAsia="zh-CN"/>
        </w:rPr>
        <w:t>感官</w:t>
      </w:r>
      <w:r>
        <w:rPr>
          <w:rFonts w:hint="eastAsia" w:ascii="Times New Roman" w:hAnsi="Times New Roman"/>
          <w:color w:val="auto"/>
          <w:sz w:val="28"/>
          <w:szCs w:val="22"/>
          <w:highlight w:val="none"/>
        </w:rPr>
        <w:t>的监测。按照食品安全标准对所生产的产品进行检验，检验合格后方可出厂或者销售，出厂检验项目</w:t>
      </w:r>
      <w:r>
        <w:rPr>
          <w:rFonts w:hint="eastAsia" w:ascii="Times New Roman" w:hAnsi="Times New Roman"/>
          <w:color w:val="auto"/>
          <w:sz w:val="28"/>
          <w:szCs w:val="22"/>
          <w:highlight w:val="none"/>
          <w:lang w:eastAsia="zh-CN"/>
        </w:rPr>
        <w:t>（感官指标、净含量、酵母β-葡聚糖含量、水分、菌落总数、大肠菌群）</w:t>
      </w:r>
      <w:r>
        <w:rPr>
          <w:rFonts w:hint="eastAsia" w:ascii="Times New Roman" w:hAnsi="Times New Roman"/>
          <w:color w:val="auto"/>
          <w:sz w:val="28"/>
          <w:szCs w:val="22"/>
          <w:highlight w:val="none"/>
        </w:rPr>
        <w:t>、检验频次、检验方法等检验要求综合考虑产品特性、工艺特点、生产过程控制、食品安全标准、执行标准等因素确定</w:t>
      </w:r>
      <w:r>
        <w:rPr>
          <w:rFonts w:hint="eastAsia" w:ascii="Times New Roman" w:hAnsi="Times New Roman"/>
          <w:color w:val="auto"/>
          <w:sz w:val="28"/>
          <w:szCs w:val="22"/>
          <w:highlight w:val="none"/>
          <w:lang w:eastAsia="zh-CN"/>
        </w:rPr>
        <w:t>。建立产品留样制度，及时保留样品。产品留样设施满足产品贮存条件要求。</w:t>
      </w:r>
    </w:p>
    <w:p w14:paraId="41047F2A">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建立并执行运输和交付管理制度。根据产品的特点和卫生需要规定运输、交付要求。委托运输</w:t>
      </w:r>
      <w:r>
        <w:rPr>
          <w:rFonts w:hint="eastAsia" w:ascii="Times New Roman" w:hAnsi="Times New Roman"/>
          <w:color w:val="auto"/>
          <w:sz w:val="28"/>
          <w:szCs w:val="22"/>
          <w:highlight w:val="none"/>
          <w:lang w:val="en-US" w:eastAsia="zh-CN"/>
        </w:rPr>
        <w:t>后</w:t>
      </w:r>
      <w:r>
        <w:rPr>
          <w:rFonts w:hint="eastAsia" w:ascii="Times New Roman" w:hAnsi="Times New Roman"/>
          <w:color w:val="auto"/>
          <w:sz w:val="28"/>
          <w:szCs w:val="22"/>
          <w:highlight w:val="none"/>
        </w:rPr>
        <w:t>，对受托方的食品安全保障能力进行审核并签订合同</w:t>
      </w:r>
      <w:r>
        <w:rPr>
          <w:rFonts w:hint="eastAsia" w:ascii="Times New Roman" w:hAnsi="Times New Roman"/>
          <w:color w:val="auto"/>
          <w:sz w:val="28"/>
          <w:szCs w:val="22"/>
          <w:highlight w:val="none"/>
          <w:lang w:eastAsia="zh-CN"/>
        </w:rPr>
        <w:t>。</w:t>
      </w:r>
    </w:p>
    <w:p w14:paraId="7BD02C3F">
      <w:pPr>
        <w:pStyle w:val="9"/>
        <w:numPr>
          <w:ilvl w:val="0"/>
          <w:numId w:val="0"/>
        </w:numPr>
        <w:spacing w:line="240" w:lineRule="auto"/>
        <w:ind w:firstLine="560" w:firstLineChars="200"/>
        <w:rPr>
          <w:rFonts w:hint="eastAsia" w:ascii="Times New Roman" w:hAnsi="Times New Roman" w:cs="Times New Roman"/>
          <w:color w:val="auto"/>
          <w:sz w:val="28"/>
          <w:szCs w:val="22"/>
          <w:highlight w:val="none"/>
        </w:rPr>
      </w:pPr>
      <w:r>
        <w:rPr>
          <w:rFonts w:hint="eastAsia" w:ascii="Times New Roman" w:hAnsi="Times New Roman" w:cs="Times New Roman"/>
          <w:color w:val="auto"/>
          <w:sz w:val="28"/>
          <w:szCs w:val="22"/>
          <w:highlight w:val="none"/>
        </w:rPr>
        <w:t>（一）运输器具。运输的工具和容器保持清洁、维护良好，并能提供必要的保护，避免产品受到污染。</w:t>
      </w:r>
    </w:p>
    <w:p w14:paraId="41F7D174">
      <w:pPr>
        <w:pStyle w:val="9"/>
        <w:numPr>
          <w:ilvl w:val="0"/>
          <w:numId w:val="0"/>
        </w:numPr>
        <w:spacing w:line="240" w:lineRule="auto"/>
        <w:ind w:firstLine="560" w:firstLineChars="200"/>
        <w:rPr>
          <w:rFonts w:hint="eastAsia" w:ascii="Times New Roman" w:hAnsi="Times New Roman" w:eastAsia="仿宋_GB2312"/>
          <w:color w:val="auto"/>
          <w:sz w:val="28"/>
          <w:szCs w:val="22"/>
          <w:highlight w:val="none"/>
          <w:lang w:eastAsia="zh-CN"/>
        </w:rPr>
      </w:pPr>
      <w:r>
        <w:rPr>
          <w:rFonts w:hint="eastAsia" w:ascii="Times New Roman" w:hAnsi="Times New Roman" w:cs="Times New Roman"/>
          <w:color w:val="auto"/>
          <w:sz w:val="28"/>
          <w:szCs w:val="22"/>
          <w:highlight w:val="none"/>
        </w:rPr>
        <w:t>（二） 运输过程控制要求。运输过程中采取合适的控制措施保证</w:t>
      </w:r>
      <w:r>
        <w:rPr>
          <w:rFonts w:hint="eastAsia" w:ascii="Times New Roman" w:hAnsi="Times New Roman" w:cs="Times New Roman"/>
          <w:color w:val="auto"/>
          <w:sz w:val="28"/>
          <w:szCs w:val="22"/>
          <w:highlight w:val="none"/>
          <w:lang w:val="en-US" w:eastAsia="zh-CN"/>
        </w:rPr>
        <w:t>物料</w:t>
      </w:r>
      <w:r>
        <w:rPr>
          <w:rFonts w:hint="eastAsia" w:ascii="Times New Roman" w:hAnsi="Times New Roman" w:cs="Times New Roman"/>
          <w:color w:val="auto"/>
          <w:sz w:val="28"/>
          <w:szCs w:val="22"/>
          <w:highlight w:val="none"/>
        </w:rPr>
        <w:t>包装的完整性和完好性，</w:t>
      </w:r>
      <w:r>
        <w:rPr>
          <w:rFonts w:hint="eastAsia" w:ascii="Times New Roman" w:hAnsi="Times New Roman" w:cs="Times New Roman"/>
          <w:color w:val="auto"/>
          <w:sz w:val="28"/>
          <w:szCs w:val="22"/>
          <w:highlight w:val="none"/>
          <w:lang w:val="en-US" w:eastAsia="zh-CN"/>
        </w:rPr>
        <w:t>保证运输车辆</w:t>
      </w:r>
      <w:r>
        <w:rPr>
          <w:rFonts w:hint="eastAsia" w:ascii="Times New Roman" w:hAnsi="Times New Roman" w:cs="Times New Roman"/>
          <w:color w:val="auto"/>
          <w:sz w:val="28"/>
          <w:szCs w:val="22"/>
          <w:highlight w:val="none"/>
        </w:rPr>
        <w:t>清洁、干燥</w:t>
      </w:r>
      <w:r>
        <w:rPr>
          <w:rFonts w:hint="eastAsia" w:ascii="Times New Roman" w:hAnsi="Times New Roman" w:cs="Times New Roman"/>
          <w:color w:val="auto"/>
          <w:sz w:val="28"/>
          <w:szCs w:val="22"/>
          <w:highlight w:val="none"/>
          <w:lang w:eastAsia="zh-CN"/>
        </w:rPr>
        <w:t>。</w:t>
      </w:r>
      <w:r>
        <w:rPr>
          <w:rFonts w:hint="eastAsia" w:ascii="Times New Roman" w:hAnsi="Times New Roman" w:cs="Times New Roman"/>
          <w:color w:val="auto"/>
          <w:sz w:val="28"/>
          <w:szCs w:val="22"/>
          <w:highlight w:val="none"/>
          <w:lang w:val="en-US" w:eastAsia="zh-CN"/>
        </w:rPr>
        <w:t>不得与有毒有害物品混运</w:t>
      </w:r>
      <w:r>
        <w:rPr>
          <w:rFonts w:hint="eastAsia" w:ascii="Times New Roman" w:hAnsi="Times New Roman" w:cs="Times New Roman"/>
          <w:color w:val="auto"/>
          <w:sz w:val="28"/>
          <w:szCs w:val="22"/>
          <w:highlight w:val="none"/>
        </w:rPr>
        <w:t>。</w:t>
      </w:r>
    </w:p>
    <w:p w14:paraId="79AB3790">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并执行食品安全追溯管理体系。如实记录原料采购与验收、生产加工、产品检验、出厂销售等全过程信息，实现产品有效追溯。合理设定产品批次，建立批生产记录，如实记录投料的原料名称、投料数量、产品批号、投料日期等信息</w:t>
      </w:r>
      <w:r>
        <w:rPr>
          <w:rFonts w:hint="eastAsia" w:ascii="Times New Roman" w:hAnsi="Times New Roman"/>
          <w:color w:val="auto"/>
          <w:sz w:val="28"/>
          <w:szCs w:val="22"/>
          <w:highlight w:val="none"/>
          <w:lang w:eastAsia="zh-CN"/>
        </w:rPr>
        <w:t>。</w:t>
      </w:r>
    </w:p>
    <w:p w14:paraId="7E4F29EE">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建立并执行食品安全自查制度。对</w:t>
      </w:r>
      <w:r>
        <w:rPr>
          <w:rFonts w:hint="eastAsia" w:ascii="Times New Roman" w:hAnsi="Times New Roman"/>
          <w:color w:val="auto"/>
          <w:sz w:val="28"/>
          <w:szCs w:val="22"/>
          <w:highlight w:val="none"/>
          <w:lang w:val="en-US" w:eastAsia="zh-CN"/>
        </w:rPr>
        <w:t>产品</w:t>
      </w:r>
      <w:r>
        <w:rPr>
          <w:rFonts w:hint="eastAsia" w:ascii="Times New Roman" w:hAnsi="Times New Roman"/>
          <w:color w:val="auto"/>
          <w:sz w:val="28"/>
          <w:szCs w:val="22"/>
          <w:highlight w:val="none"/>
        </w:rPr>
        <w:t>生产安全状况进行检查评价，并规定自查频次。自查内容包括食品原料、食品添加剂、食品相关产品进货查验情况；生产过程控制情况；人员管理情况；检验管理情况；记录及文件管理情况等</w:t>
      </w:r>
      <w:r>
        <w:rPr>
          <w:rFonts w:hint="eastAsia" w:ascii="Times New Roman" w:hAnsi="Times New Roman"/>
          <w:color w:val="auto"/>
          <w:sz w:val="28"/>
          <w:szCs w:val="22"/>
          <w:highlight w:val="none"/>
          <w:lang w:eastAsia="zh-CN"/>
        </w:rPr>
        <w:t>。</w:t>
      </w:r>
    </w:p>
    <w:p w14:paraId="415B604F">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并执行不合格品管理及不安全食品召回制度。明确对在验收和生产过程中发现的不合格原料、半成品和成品进行标识、贮存和处置措施，不合格品与合格品分开放置并明显标记。如实、完整记录不合格品保存和处理情况。对召回的食品采取补救、无害化处置、销毁等措施，如实记录召回和处置情况，并向所在地县级市场监管部门报告</w:t>
      </w:r>
      <w:r>
        <w:rPr>
          <w:rFonts w:hint="eastAsia" w:ascii="Times New Roman" w:hAnsi="Times New Roman"/>
          <w:color w:val="auto"/>
          <w:sz w:val="28"/>
          <w:szCs w:val="22"/>
          <w:highlight w:val="none"/>
          <w:lang w:eastAsia="zh-CN"/>
        </w:rPr>
        <w:t>。</w:t>
      </w:r>
    </w:p>
    <w:p w14:paraId="017CC47F">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rPr>
        <w:t>建立并执行食品安全事故处置方案。规定食品安全事故处置措施及向事故发生地县级市场监督管理部门和卫生行政部门报告的要求。</w:t>
      </w:r>
    </w:p>
    <w:p w14:paraId="49B22BFF">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其他制度。</w:t>
      </w:r>
    </w:p>
    <w:p w14:paraId="61D64684">
      <w:pPr>
        <w:pStyle w:val="9"/>
        <w:numPr>
          <w:ilvl w:val="0"/>
          <w:numId w:val="4"/>
        </w:numPr>
        <w:spacing w:line="240" w:lineRule="auto"/>
        <w:ind w:firstLine="560" w:firstLineChars="200"/>
        <w:rPr>
          <w:rFonts w:hint="eastAsia" w:ascii="Times New Roman" w:hAnsi="Times New Roman"/>
          <w:color w:val="auto"/>
          <w:sz w:val="28"/>
          <w:szCs w:val="22"/>
          <w:highlight w:val="none"/>
          <w:lang w:eastAsia="zh-CN"/>
        </w:rPr>
      </w:pPr>
      <w:r>
        <w:rPr>
          <w:rFonts w:hint="eastAsia" w:ascii="Times New Roman" w:hAnsi="Times New Roman"/>
          <w:color w:val="auto"/>
          <w:sz w:val="28"/>
          <w:szCs w:val="22"/>
          <w:highlight w:val="none"/>
        </w:rPr>
        <w:t>建立并执行仓储管理制度。包括原料、包装材料仓库 管理制度和成品仓库管理制度</w:t>
      </w:r>
      <w:r>
        <w:rPr>
          <w:rFonts w:hint="eastAsia" w:ascii="Times New Roman" w:hAnsi="Times New Roman"/>
          <w:color w:val="auto"/>
          <w:sz w:val="28"/>
          <w:szCs w:val="22"/>
          <w:highlight w:val="none"/>
          <w:lang w:eastAsia="zh-CN"/>
        </w:rPr>
        <w:t>。</w:t>
      </w:r>
    </w:p>
    <w:p w14:paraId="4FDCF530">
      <w:pPr>
        <w:pStyle w:val="9"/>
        <w:numPr>
          <w:ilvl w:val="0"/>
          <w:numId w:val="0"/>
        </w:numPr>
        <w:spacing w:line="240" w:lineRule="auto"/>
        <w:rPr>
          <w:rFonts w:hint="eastAsia" w:ascii="Times New Roman" w:hAnsi="Times New Roman"/>
          <w:color w:val="auto"/>
          <w:sz w:val="28"/>
          <w:szCs w:val="22"/>
          <w:highlight w:val="none"/>
          <w:lang w:val="en-US" w:eastAsia="zh-CN"/>
        </w:rPr>
      </w:pPr>
      <w:r>
        <w:rPr>
          <w:rFonts w:hint="eastAsia" w:ascii="Times New Roman" w:hAnsi="Times New Roman"/>
          <w:color w:val="auto"/>
          <w:sz w:val="28"/>
          <w:szCs w:val="22"/>
          <w:highlight w:val="none"/>
          <w:lang w:val="en-US" w:eastAsia="zh-CN"/>
        </w:rPr>
        <w:t xml:space="preserve">    1.原料、包装材料仓储管理。贮存期间按照不同原料和包装材料的特点分区存放，并建立标识，标明产品名称、数量、来源等相关信息。原料和包装材料的贮存有专人管理，贮存在适宜的温湿度条件下，至少每月清理1次变质或超过保质期的原料和包装材料。</w:t>
      </w:r>
    </w:p>
    <w:p w14:paraId="36809BE3">
      <w:pPr>
        <w:pStyle w:val="9"/>
        <w:numPr>
          <w:ilvl w:val="0"/>
          <w:numId w:val="0"/>
        </w:numPr>
        <w:spacing w:line="240" w:lineRule="auto"/>
        <w:rPr>
          <w:rFonts w:hint="default" w:ascii="Times New Roman" w:hAnsi="Times New Roman"/>
          <w:color w:val="auto"/>
          <w:sz w:val="28"/>
          <w:szCs w:val="22"/>
          <w:highlight w:val="none"/>
          <w:lang w:val="en-US" w:eastAsia="zh-CN"/>
        </w:rPr>
      </w:pPr>
      <w:r>
        <w:rPr>
          <w:rFonts w:hint="eastAsia" w:ascii="Times New Roman" w:hAnsi="Times New Roman"/>
          <w:color w:val="auto"/>
          <w:sz w:val="28"/>
          <w:szCs w:val="22"/>
          <w:highlight w:val="none"/>
          <w:lang w:val="en-US" w:eastAsia="zh-CN"/>
        </w:rPr>
        <w:t xml:space="preserve">    2.成品仓储管理。根据产品特点设置仓库温湿度要求，按照标识分类存放，并标明相关产品生产日期、规格、数量等，监控仓库的温湿度，保证产品贮存在适宜的温湿度条件下。不得将食品与有毒、有害或有异味的物品一同贮存。</w:t>
      </w:r>
    </w:p>
    <w:p w14:paraId="713F434C">
      <w:pPr>
        <w:pStyle w:val="9"/>
        <w:numPr>
          <w:ilvl w:val="0"/>
          <w:numId w:val="4"/>
        </w:numPr>
        <w:spacing w:line="240" w:lineRule="auto"/>
        <w:ind w:firstLine="560" w:firstLineChars="200"/>
        <w:rPr>
          <w:rFonts w:hint="eastAsia" w:ascii="Times New Roman" w:hAnsi="Times New Roman"/>
          <w:color w:val="auto"/>
          <w:sz w:val="28"/>
          <w:szCs w:val="22"/>
          <w:highlight w:val="none"/>
          <w:lang w:eastAsia="zh-CN"/>
        </w:rPr>
      </w:pPr>
      <w:r>
        <w:rPr>
          <w:rFonts w:hint="eastAsia" w:ascii="Times New Roman" w:hAnsi="Times New Roman"/>
          <w:color w:val="auto"/>
          <w:sz w:val="28"/>
          <w:szCs w:val="22"/>
          <w:highlight w:val="none"/>
          <w:lang w:eastAsia="zh-CN"/>
        </w:rPr>
        <w:t>建立并执行废弃物存放和清除制度。规定</w:t>
      </w:r>
      <w:r>
        <w:rPr>
          <w:rFonts w:hint="eastAsia" w:ascii="Times New Roman" w:hAnsi="Times New Roman"/>
          <w:color w:val="auto"/>
          <w:sz w:val="28"/>
          <w:szCs w:val="22"/>
          <w:highlight w:val="none"/>
          <w:lang w:val="en-US" w:eastAsia="zh-CN"/>
        </w:rPr>
        <w:t>落地产品</w:t>
      </w:r>
      <w:r>
        <w:rPr>
          <w:rFonts w:hint="eastAsia" w:ascii="Times New Roman" w:hAnsi="Times New Roman"/>
          <w:color w:val="auto"/>
          <w:sz w:val="28"/>
          <w:szCs w:val="22"/>
          <w:highlight w:val="none"/>
          <w:lang w:eastAsia="zh-CN"/>
        </w:rPr>
        <w:t>、</w:t>
      </w:r>
      <w:r>
        <w:rPr>
          <w:rFonts w:hint="eastAsia" w:ascii="Times New Roman" w:hAnsi="Times New Roman"/>
          <w:color w:val="auto"/>
          <w:sz w:val="28"/>
          <w:szCs w:val="22"/>
          <w:highlight w:val="none"/>
          <w:lang w:val="en-US" w:eastAsia="zh-CN"/>
        </w:rPr>
        <w:t>废弃品</w:t>
      </w:r>
      <w:r>
        <w:rPr>
          <w:rFonts w:hint="eastAsia" w:ascii="Times New Roman" w:hAnsi="Times New Roman"/>
          <w:color w:val="auto"/>
          <w:sz w:val="28"/>
          <w:szCs w:val="22"/>
          <w:highlight w:val="none"/>
          <w:lang w:eastAsia="zh-CN"/>
        </w:rPr>
        <w:t>及其他废弃物清除频次。不合格</w:t>
      </w:r>
      <w:r>
        <w:rPr>
          <w:rFonts w:hint="eastAsia" w:ascii="Times New Roman" w:hAnsi="Times New Roman"/>
          <w:color w:val="auto"/>
          <w:sz w:val="28"/>
          <w:szCs w:val="22"/>
          <w:highlight w:val="none"/>
          <w:lang w:val="en-US" w:eastAsia="zh-CN"/>
        </w:rPr>
        <w:t>品</w:t>
      </w:r>
      <w:r>
        <w:rPr>
          <w:rFonts w:hint="eastAsia" w:ascii="Times New Roman" w:hAnsi="Times New Roman"/>
          <w:color w:val="auto"/>
          <w:sz w:val="28"/>
          <w:szCs w:val="22"/>
          <w:highlight w:val="none"/>
          <w:lang w:eastAsia="zh-CN"/>
        </w:rPr>
        <w:t>等废弃物定期通过合适的容器清除，至少在每天工作结束时清除</w:t>
      </w:r>
      <w:r>
        <w:rPr>
          <w:rFonts w:hint="eastAsia" w:ascii="Times New Roman" w:hAnsi="Times New Roman"/>
          <w:color w:val="auto"/>
          <w:sz w:val="28"/>
          <w:szCs w:val="22"/>
          <w:highlight w:val="none"/>
          <w:lang w:val="en-US" w:eastAsia="zh-CN"/>
        </w:rPr>
        <w:t>1</w:t>
      </w:r>
      <w:r>
        <w:rPr>
          <w:rFonts w:hint="eastAsia" w:ascii="Times New Roman" w:hAnsi="Times New Roman"/>
          <w:color w:val="auto"/>
          <w:sz w:val="28"/>
          <w:szCs w:val="22"/>
          <w:highlight w:val="none"/>
          <w:lang w:eastAsia="zh-CN"/>
        </w:rPr>
        <w:t>次，每天至少从厂房移走废弃物</w:t>
      </w:r>
      <w:r>
        <w:rPr>
          <w:rFonts w:hint="eastAsia" w:ascii="Times New Roman" w:hAnsi="Times New Roman"/>
          <w:color w:val="auto"/>
          <w:sz w:val="28"/>
          <w:szCs w:val="22"/>
          <w:highlight w:val="none"/>
          <w:lang w:val="en-US" w:eastAsia="zh-CN"/>
        </w:rPr>
        <w:t>1</w:t>
      </w:r>
      <w:r>
        <w:rPr>
          <w:rFonts w:hint="eastAsia" w:ascii="Times New Roman" w:hAnsi="Times New Roman"/>
          <w:color w:val="auto"/>
          <w:sz w:val="28"/>
          <w:szCs w:val="22"/>
          <w:highlight w:val="none"/>
          <w:lang w:eastAsia="zh-CN"/>
        </w:rPr>
        <w:t>次。用于贮存废弃物的容器和装置清空后立即进行清洁，放置废弃物容器的区域也定期进行清洁，至少每天</w:t>
      </w:r>
      <w:r>
        <w:rPr>
          <w:rFonts w:hint="eastAsia" w:ascii="Times New Roman" w:hAnsi="Times New Roman"/>
          <w:color w:val="auto"/>
          <w:sz w:val="28"/>
          <w:szCs w:val="22"/>
          <w:highlight w:val="none"/>
          <w:lang w:val="en-US" w:eastAsia="zh-CN"/>
        </w:rPr>
        <w:t>1</w:t>
      </w:r>
      <w:r>
        <w:rPr>
          <w:rFonts w:hint="eastAsia" w:ascii="Times New Roman" w:hAnsi="Times New Roman"/>
          <w:color w:val="auto"/>
          <w:sz w:val="28"/>
          <w:szCs w:val="22"/>
          <w:highlight w:val="none"/>
          <w:lang w:eastAsia="zh-CN"/>
        </w:rPr>
        <w:t>次。</w:t>
      </w:r>
    </w:p>
    <w:p w14:paraId="4DD12DA4">
      <w:pPr>
        <w:pStyle w:val="9"/>
        <w:numPr>
          <w:ilvl w:val="0"/>
          <w:numId w:val="4"/>
        </w:numPr>
        <w:spacing w:line="240" w:lineRule="auto"/>
        <w:ind w:firstLine="560" w:firstLineChars="200"/>
        <w:rPr>
          <w:rFonts w:hint="eastAsia" w:ascii="Times New Roman" w:hAnsi="Times New Roman"/>
          <w:color w:val="auto"/>
          <w:sz w:val="28"/>
          <w:szCs w:val="22"/>
          <w:highlight w:val="none"/>
          <w:lang w:eastAsia="zh-CN"/>
        </w:rPr>
      </w:pPr>
      <w:r>
        <w:rPr>
          <w:rFonts w:hint="eastAsia" w:ascii="Times New Roman" w:hAnsi="Times New Roman"/>
          <w:color w:val="auto"/>
          <w:sz w:val="28"/>
          <w:szCs w:val="22"/>
          <w:highlight w:val="none"/>
          <w:lang w:eastAsia="zh-CN"/>
        </w:rPr>
        <w:t>设备校准管理。用于监测、控制、记录的设备，如压力表、温度计、记录仪、计时器等，定期校准、维护。</w:t>
      </w:r>
    </w:p>
    <w:p w14:paraId="246E0D32">
      <w:pPr>
        <w:pStyle w:val="9"/>
        <w:numPr>
          <w:ilvl w:val="0"/>
          <w:numId w:val="4"/>
        </w:numPr>
        <w:spacing w:line="240" w:lineRule="auto"/>
        <w:ind w:firstLine="560" w:firstLineChars="200"/>
        <w:rPr>
          <w:rFonts w:hint="eastAsia" w:ascii="Times New Roman" w:hAnsi="Times New Roman"/>
          <w:color w:val="auto"/>
          <w:sz w:val="28"/>
          <w:szCs w:val="22"/>
          <w:highlight w:val="none"/>
          <w:lang w:eastAsia="zh-CN"/>
        </w:rPr>
      </w:pPr>
      <w:r>
        <w:rPr>
          <w:rFonts w:hint="eastAsia" w:ascii="Times New Roman" w:hAnsi="Times New Roman"/>
          <w:color w:val="auto"/>
          <w:sz w:val="28"/>
          <w:szCs w:val="22"/>
          <w:highlight w:val="none"/>
          <w:lang w:eastAsia="zh-CN"/>
        </w:rPr>
        <w:t>建立并执行日管控、周排查、月调度工作机制。结合所生产产品的特点，制定《食品安全风险管控清单》，并根据《食品安全风险管控清单》做好日管控、周排查、月调度工作。食品安全员开展日管控工作，食品安全总监或者食品安全员开展周排查工作，主要负责人开展月调度工作</w:t>
      </w:r>
      <w:r>
        <w:rPr>
          <w:rFonts w:hint="eastAsia" w:ascii="Times New Roman" w:hAnsi="Times New Roman"/>
          <w:color w:val="auto"/>
          <w:sz w:val="28"/>
          <w:szCs w:val="22"/>
          <w:highlight w:val="none"/>
          <w:lang w:eastAsia="zh-CN"/>
        </w:rPr>
        <w:t>。</w:t>
      </w:r>
    </w:p>
    <w:p w14:paraId="69521181">
      <w:pPr>
        <w:pStyle w:val="5"/>
        <w:spacing w:before="0" w:after="0" w:line="240" w:lineRule="auto"/>
        <w:jc w:val="center"/>
        <w:rPr>
          <w:rFonts w:ascii="方正小标宋简体" w:hAnsi="Times New Roman" w:eastAsia="方正小标宋简体"/>
          <w:b w:val="0"/>
          <w:bCs w:val="0"/>
          <w:color w:val="auto"/>
          <w:sz w:val="28"/>
          <w:szCs w:val="28"/>
          <w:highlight w:val="none"/>
        </w:rPr>
      </w:pPr>
      <w:r>
        <w:rPr>
          <w:rFonts w:hint="eastAsia" w:ascii="方正小标宋简体" w:hAnsi="Times New Roman" w:eastAsia="方正小标宋简体"/>
          <w:b w:val="0"/>
          <w:bCs w:val="0"/>
          <w:color w:val="auto"/>
          <w:sz w:val="28"/>
          <w:szCs w:val="22"/>
          <w:highlight w:val="none"/>
        </w:rPr>
        <w:t>第七节 试制产品检验</w:t>
      </w:r>
    </w:p>
    <w:p w14:paraId="4F046A43">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按所申报</w:t>
      </w:r>
      <w:r>
        <w:rPr>
          <w:rFonts w:hint="eastAsia" w:ascii="Times New Roman" w:hAnsi="Times New Roman"/>
          <w:color w:val="auto"/>
          <w:sz w:val="28"/>
          <w:szCs w:val="22"/>
          <w:highlight w:val="none"/>
          <w:lang w:eastAsia="zh-CN"/>
        </w:rPr>
        <w:t>产品</w:t>
      </w:r>
      <w:r>
        <w:rPr>
          <w:rFonts w:hint="eastAsia" w:ascii="Times New Roman" w:hAnsi="Times New Roman"/>
          <w:color w:val="auto"/>
          <w:sz w:val="28"/>
          <w:szCs w:val="22"/>
          <w:highlight w:val="none"/>
        </w:rPr>
        <w:t>的品种、生产工艺和执行标准，提供同一品种、同一批次的试制产品检验合格报告，对检验报告真实性负责。</w:t>
      </w:r>
    </w:p>
    <w:p w14:paraId="3BAB3158">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检验项目符合</w:t>
      </w:r>
      <w:r>
        <w:rPr>
          <w:rFonts w:hint="eastAsia" w:ascii="Times New Roman" w:hAnsi="Times New Roman"/>
          <w:color w:val="auto"/>
          <w:sz w:val="28"/>
          <w:szCs w:val="22"/>
          <w:highlight w:val="none"/>
          <w:lang w:eastAsia="zh-CN"/>
        </w:rPr>
        <w:t>QB/T 4572</w:t>
      </w:r>
      <w:r>
        <w:rPr>
          <w:rFonts w:hint="eastAsia" w:ascii="Times New Roman" w:hAnsi="Times New Roman"/>
          <w:color w:val="auto"/>
          <w:sz w:val="28"/>
          <w:szCs w:val="22"/>
          <w:highlight w:val="none"/>
        </w:rPr>
        <w:t>及国务院卫生行政部门的相关公告的要求</w:t>
      </w:r>
      <w:r>
        <w:rPr>
          <w:rFonts w:hint="eastAsia" w:ascii="Times New Roman" w:hAnsi="Times New Roman"/>
          <w:color w:val="auto"/>
          <w:sz w:val="28"/>
          <w:szCs w:val="22"/>
          <w:highlight w:val="none"/>
          <w:lang w:eastAsia="zh-CN"/>
        </w:rPr>
        <w:t>。</w:t>
      </w:r>
    </w:p>
    <w:p w14:paraId="5A81366F">
      <w:pPr>
        <w:pStyle w:val="5"/>
        <w:spacing w:before="0" w:after="0" w:line="240" w:lineRule="auto"/>
        <w:jc w:val="center"/>
        <w:rPr>
          <w:rFonts w:ascii="方正小标宋简体" w:hAnsi="Times New Roman" w:eastAsia="方正小标宋简体"/>
          <w:b w:val="0"/>
          <w:bCs w:val="0"/>
          <w:color w:val="auto"/>
          <w:sz w:val="28"/>
          <w:szCs w:val="28"/>
          <w:highlight w:val="none"/>
        </w:rPr>
      </w:pPr>
      <w:r>
        <w:rPr>
          <w:rFonts w:hint="eastAsia" w:ascii="方正小标宋简体" w:hAnsi="Times New Roman" w:eastAsia="方正小标宋简体"/>
          <w:b w:val="0"/>
          <w:bCs w:val="0"/>
          <w:color w:val="auto"/>
          <w:sz w:val="28"/>
          <w:szCs w:val="22"/>
          <w:highlight w:val="none"/>
        </w:rPr>
        <w:t>第八节 其他要求</w:t>
      </w:r>
    </w:p>
    <w:p w14:paraId="0F84360D">
      <w:pPr>
        <w:pStyle w:val="9"/>
        <w:numPr>
          <w:ilvl w:val="0"/>
          <w:numId w:val="2"/>
        </w:numPr>
        <w:spacing w:line="240" w:lineRule="auto"/>
        <w:rPr>
          <w:rFonts w:hint="eastAsia" w:ascii="Times New Roman" w:hAnsi="Times New Roman"/>
          <w:color w:val="auto"/>
          <w:sz w:val="28"/>
          <w:szCs w:val="22"/>
          <w:highlight w:val="none"/>
        </w:rPr>
      </w:pPr>
      <w:r>
        <w:rPr>
          <w:rFonts w:hint="eastAsia" w:ascii="Times New Roman" w:hAnsi="Times New Roman"/>
          <w:color w:val="auto"/>
          <w:sz w:val="28"/>
          <w:szCs w:val="22"/>
          <w:highlight w:val="none"/>
          <w:lang w:val="en-US" w:eastAsia="zh-CN"/>
        </w:rPr>
        <w:t>产</w:t>
      </w:r>
      <w:r>
        <w:rPr>
          <w:rFonts w:hint="eastAsia" w:ascii="Times New Roman" w:hAnsi="Times New Roman"/>
          <w:color w:val="auto"/>
          <w:sz w:val="28"/>
          <w:szCs w:val="22"/>
          <w:highlight w:val="none"/>
        </w:rPr>
        <w:t>品标签符合GB 7718《食品安全国家标准预包装食品标签通则》和GB 28050《食品安全国家标准预包装食品营养标签通则》的规定及要求，</w:t>
      </w:r>
      <w:r>
        <w:rPr>
          <w:rFonts w:hint="eastAsia" w:ascii="Times New Roman" w:hAnsi="Times New Roman"/>
          <w:color w:val="auto"/>
          <w:sz w:val="28"/>
          <w:szCs w:val="22"/>
          <w:highlight w:val="none"/>
        </w:rPr>
        <w:t>标注 "不适宜人群"</w:t>
      </w:r>
      <w:r>
        <w:rPr>
          <w:rFonts w:hint="eastAsia" w:ascii="Times New Roman" w:hAnsi="Times New Roman"/>
          <w:color w:val="auto"/>
          <w:sz w:val="28"/>
          <w:szCs w:val="22"/>
          <w:highlight w:val="none"/>
          <w:lang w:val="en-US" w:eastAsia="zh-CN"/>
        </w:rPr>
        <w:t>和“</w:t>
      </w:r>
      <w:r>
        <w:rPr>
          <w:rFonts w:hint="eastAsia" w:ascii="Times New Roman" w:hAnsi="Times New Roman"/>
          <w:color w:val="auto"/>
          <w:sz w:val="28"/>
          <w:szCs w:val="22"/>
          <w:highlight w:val="none"/>
        </w:rPr>
        <w:t>每日食用限量</w:t>
      </w:r>
      <w:r>
        <w:rPr>
          <w:rFonts w:hint="eastAsia" w:ascii="Times New Roman" w:hAnsi="Times New Roman"/>
          <w:color w:val="auto"/>
          <w:sz w:val="28"/>
          <w:szCs w:val="22"/>
          <w:highlight w:val="none"/>
          <w:lang w:val="en-US" w:eastAsia="zh-CN"/>
        </w:rPr>
        <w:t>”</w:t>
      </w:r>
      <w:r>
        <w:rPr>
          <w:rFonts w:hint="eastAsia" w:ascii="Times New Roman" w:hAnsi="Times New Roman"/>
          <w:color w:val="auto"/>
          <w:sz w:val="28"/>
          <w:szCs w:val="22"/>
          <w:highlight w:val="none"/>
        </w:rPr>
        <w:t>。</w:t>
      </w:r>
    </w:p>
    <w:p w14:paraId="44852B65">
      <w:pPr>
        <w:pStyle w:val="9"/>
        <w:numPr>
          <w:ilvl w:val="0"/>
          <w:numId w:val="2"/>
        </w:numPr>
        <w:spacing w:line="240" w:lineRule="auto"/>
        <w:rPr>
          <w:rFonts w:ascii="Times New Roman" w:hAnsi="Times New Roman"/>
          <w:color w:val="auto"/>
          <w:sz w:val="28"/>
          <w:szCs w:val="22"/>
          <w:highlight w:val="none"/>
        </w:rPr>
      </w:pPr>
      <w:r>
        <w:rPr>
          <w:rFonts w:hint="eastAsia" w:ascii="Times New Roman" w:hAnsi="Times New Roman"/>
          <w:color w:val="auto"/>
          <w:sz w:val="28"/>
          <w:szCs w:val="22"/>
          <w:highlight w:val="none"/>
        </w:rPr>
        <w:t>若国家出台相关规定遵从其规定。</w:t>
      </w:r>
    </w:p>
    <w:p w14:paraId="7F90ECCA">
      <w:pPr>
        <w:pStyle w:val="5"/>
        <w:spacing w:before="0" w:after="0" w:line="240" w:lineRule="auto"/>
        <w:jc w:val="center"/>
        <w:rPr>
          <w:rFonts w:hint="eastAsia" w:ascii="方正小标宋简体" w:hAnsi="Times New Roman" w:eastAsia="方正小标宋简体"/>
          <w:b w:val="0"/>
          <w:color w:val="auto"/>
          <w:highlight w:val="none"/>
        </w:rPr>
      </w:pPr>
    </w:p>
    <w:p w14:paraId="579CB045">
      <w:pPr>
        <w:rPr>
          <w:rFonts w:hint="eastAsia" w:ascii="Times New Roman" w:hAnsi="Times New Roman" w:eastAsia="黑体" w:cs="Times New Roman"/>
          <w:color w:val="auto"/>
          <w:sz w:val="28"/>
          <w:szCs w:val="28"/>
          <w:highlight w:val="none"/>
        </w:rPr>
      </w:pPr>
      <w:r>
        <w:rPr>
          <w:rFonts w:hint="eastAsia" w:ascii="Times New Roman" w:hAnsi="Times New Roman" w:eastAsia="黑体" w:cs="Times New Roman"/>
          <w:color w:val="auto"/>
          <w:sz w:val="28"/>
          <w:szCs w:val="28"/>
          <w:highlight w:val="none"/>
        </w:rPr>
        <w:br w:type="page"/>
      </w:r>
    </w:p>
    <w:p w14:paraId="7ECAA880">
      <w:pPr>
        <w:pStyle w:val="31"/>
        <w:tabs>
          <w:tab w:val="left" w:pos="1418"/>
        </w:tabs>
        <w:spacing w:line="240" w:lineRule="auto"/>
        <w:jc w:val="left"/>
        <w:rPr>
          <w:rFonts w:ascii="Times New Roman" w:hAnsi="Times New Roman" w:eastAsia="仿宋_GB2312" w:cs="Times New Roman"/>
          <w:color w:val="auto"/>
          <w:sz w:val="28"/>
          <w:szCs w:val="28"/>
          <w:highlight w:val="none"/>
        </w:rPr>
      </w:pPr>
      <w:r>
        <w:rPr>
          <w:rFonts w:hint="eastAsia" w:ascii="Times New Roman" w:hAnsi="Times New Roman" w:eastAsia="黑体" w:cs="Times New Roman"/>
          <w:color w:val="auto"/>
          <w:sz w:val="28"/>
          <w:szCs w:val="28"/>
          <w:highlight w:val="none"/>
        </w:rPr>
        <w:t>附件：</w:t>
      </w:r>
      <w:r>
        <w:rPr>
          <w:rFonts w:ascii="Times New Roman" w:hAnsi="Times New Roman" w:eastAsia="仿宋_GB2312" w:cs="Times New Roman"/>
          <w:color w:val="auto"/>
          <w:sz w:val="28"/>
          <w:szCs w:val="28"/>
          <w:highlight w:val="none"/>
        </w:rPr>
        <w:t>1.</w:t>
      </w:r>
      <w:r>
        <w:rPr>
          <w:rFonts w:hint="eastAsia" w:ascii="Times New Roman" w:hAnsi="Times New Roman" w:eastAsia="仿宋_GB2312" w:cs="Times New Roman"/>
          <w:color w:val="auto"/>
          <w:sz w:val="28"/>
          <w:szCs w:val="28"/>
          <w:highlight w:val="none"/>
          <w:lang w:eastAsia="zh-CN"/>
        </w:rPr>
        <w:t>其他食品（酵母β-葡聚糖）</w:t>
      </w:r>
      <w:r>
        <w:rPr>
          <w:rFonts w:hint="eastAsia" w:ascii="Times New Roman" w:hAnsi="Times New Roman" w:eastAsia="仿宋_GB2312" w:cs="Times New Roman"/>
          <w:color w:val="auto"/>
          <w:sz w:val="28"/>
          <w:szCs w:val="28"/>
          <w:highlight w:val="none"/>
        </w:rPr>
        <w:t>生产涉及的主要标准</w:t>
      </w:r>
    </w:p>
    <w:p w14:paraId="2EED912F">
      <w:pPr>
        <w:pStyle w:val="31"/>
        <w:tabs>
          <w:tab w:val="left" w:pos="1418"/>
        </w:tabs>
        <w:spacing w:line="240" w:lineRule="auto"/>
        <w:ind w:firstLine="1260" w:firstLineChars="450"/>
        <w:jc w:val="left"/>
        <w:rPr>
          <w:rFonts w:ascii="Times New Roman" w:hAnsi="Times New Roman" w:eastAsia="仿宋_GB2312" w:cs="Times New Roman"/>
          <w:color w:val="auto"/>
          <w:sz w:val="28"/>
          <w:szCs w:val="28"/>
          <w:highlight w:val="none"/>
        </w:rPr>
      </w:pPr>
      <w:r>
        <w:rPr>
          <w:rFonts w:ascii="Times New Roman" w:hAnsi="Times New Roman" w:eastAsia="仿宋_GB2312" w:cs="Times New Roman"/>
          <w:color w:val="auto"/>
          <w:sz w:val="28"/>
          <w:szCs w:val="28"/>
          <w:highlight w:val="none"/>
        </w:rPr>
        <w:t xml:space="preserve"> 2.</w:t>
      </w:r>
      <w:r>
        <w:rPr>
          <w:rFonts w:hint="eastAsia" w:ascii="Times New Roman" w:hAnsi="Times New Roman" w:eastAsia="仿宋_GB2312" w:cs="Times New Roman"/>
          <w:color w:val="auto"/>
          <w:sz w:val="28"/>
          <w:szCs w:val="28"/>
          <w:highlight w:val="none"/>
          <w:lang w:eastAsia="zh-CN"/>
        </w:rPr>
        <w:t>其他食品（酵母β-葡聚糖）</w:t>
      </w:r>
      <w:r>
        <w:rPr>
          <w:rFonts w:hint="eastAsia" w:ascii="Times New Roman" w:hAnsi="Times New Roman" w:eastAsia="仿宋_GB2312" w:cs="Times New Roman"/>
          <w:color w:val="auto"/>
          <w:sz w:val="28"/>
          <w:szCs w:val="28"/>
          <w:highlight w:val="none"/>
        </w:rPr>
        <w:t>规定的检测项目与方法</w:t>
      </w:r>
    </w:p>
    <w:p w14:paraId="30C7C836">
      <w:pPr>
        <w:pStyle w:val="31"/>
        <w:tabs>
          <w:tab w:val="left" w:pos="1418"/>
        </w:tabs>
        <w:spacing w:line="240" w:lineRule="auto"/>
        <w:ind w:firstLine="0" w:firstLineChars="0"/>
        <w:jc w:val="left"/>
        <w:rPr>
          <w:rFonts w:ascii="Times New Roman" w:hAnsi="Times New Roman" w:eastAsia="仿宋_GB2312" w:cs="Times New Roman"/>
          <w:color w:val="auto"/>
          <w:sz w:val="32"/>
          <w:szCs w:val="32"/>
          <w:highlight w:val="none"/>
        </w:rPr>
      </w:pPr>
    </w:p>
    <w:p w14:paraId="1AD212ED">
      <w:pPr>
        <w:pStyle w:val="9"/>
        <w:spacing w:line="240" w:lineRule="auto"/>
        <w:rPr>
          <w:rFonts w:ascii="Times New Roman" w:hAnsi="Times New Roman"/>
          <w:color w:val="auto"/>
          <w:szCs w:val="32"/>
          <w:highlight w:val="none"/>
        </w:rPr>
        <w:sectPr>
          <w:headerReference r:id="rId3" w:type="default"/>
          <w:footerReference r:id="rId4" w:type="default"/>
          <w:footerReference r:id="rId5" w:type="even"/>
          <w:pgSz w:w="11906" w:h="16838"/>
          <w:pgMar w:top="1587" w:right="1531" w:bottom="1588" w:left="1531" w:header="851" w:footer="992" w:gutter="0"/>
          <w:cols w:space="720" w:num="1"/>
          <w:docGrid w:type="lines" w:linePitch="312" w:charSpace="0"/>
        </w:sectPr>
      </w:pPr>
    </w:p>
    <w:p w14:paraId="6622BC43">
      <w:pPr>
        <w:pStyle w:val="9"/>
        <w:spacing w:line="240" w:lineRule="auto"/>
        <w:rPr>
          <w:rFonts w:ascii="Times New Roman" w:hAnsi="Times New Roman"/>
          <w:color w:val="auto"/>
          <w:sz w:val="28"/>
          <w:szCs w:val="22"/>
          <w:highlight w:val="none"/>
        </w:rPr>
      </w:pPr>
      <w:r>
        <w:rPr>
          <w:rFonts w:hint="eastAsia" w:ascii="黑体" w:hAnsi="黑体" w:eastAsia="黑体"/>
          <w:color w:val="auto"/>
          <w:sz w:val="28"/>
          <w:szCs w:val="22"/>
          <w:highlight w:val="none"/>
        </w:rPr>
        <w:t>附件</w:t>
      </w:r>
      <w:r>
        <w:rPr>
          <w:rFonts w:ascii="黑体" w:hAnsi="黑体" w:eastAsia="黑体"/>
          <w:color w:val="auto"/>
          <w:sz w:val="28"/>
          <w:szCs w:val="22"/>
          <w:highlight w:val="none"/>
        </w:rPr>
        <w:t>1</w:t>
      </w:r>
    </w:p>
    <w:p w14:paraId="469F6FDE">
      <w:pPr>
        <w:pStyle w:val="33"/>
        <w:spacing w:line="240" w:lineRule="auto"/>
        <w:rPr>
          <w:rFonts w:ascii="Times New Roman" w:hAnsi="Times New Roman" w:eastAsia="方正小标宋简体"/>
          <w:b w:val="0"/>
          <w:color w:val="auto"/>
          <w:sz w:val="36"/>
          <w:szCs w:val="36"/>
          <w:highlight w:val="none"/>
        </w:rPr>
      </w:pPr>
      <w:r>
        <w:rPr>
          <w:rFonts w:hint="eastAsia" w:ascii="Times New Roman" w:hAnsi="Times New Roman" w:eastAsia="方正小标宋简体"/>
          <w:b w:val="0"/>
          <w:color w:val="auto"/>
          <w:sz w:val="36"/>
          <w:szCs w:val="36"/>
          <w:highlight w:val="none"/>
          <w:lang w:eastAsia="zh-CN"/>
        </w:rPr>
        <w:t>其他食品（酵母β-葡聚糖）</w:t>
      </w:r>
      <w:r>
        <w:rPr>
          <w:rFonts w:ascii="Times New Roman" w:hAnsi="Times New Roman" w:eastAsia="方正小标宋简体"/>
          <w:b w:val="0"/>
          <w:color w:val="auto"/>
          <w:sz w:val="36"/>
          <w:szCs w:val="36"/>
          <w:highlight w:val="none"/>
        </w:rPr>
        <w:t>生产涉及的主要标准</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720"/>
        <w:gridCol w:w="6463"/>
      </w:tblGrid>
      <w:tr w14:paraId="3E6D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4" w:type="dxa"/>
            <w:shd w:val="clear" w:color="auto" w:fill="auto"/>
            <w:noWrap w:val="0"/>
            <w:vAlign w:val="center"/>
          </w:tcPr>
          <w:p w14:paraId="5F7594BB">
            <w:pPr>
              <w:adjustRightInd w:val="0"/>
              <w:snapToGrid w:val="0"/>
              <w:spacing w:line="24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序号</w:t>
            </w:r>
          </w:p>
        </w:tc>
        <w:tc>
          <w:tcPr>
            <w:tcW w:w="1720" w:type="dxa"/>
            <w:shd w:val="clear" w:color="000000" w:fill="FFFFFF"/>
            <w:noWrap w:val="0"/>
            <w:vAlign w:val="center"/>
          </w:tcPr>
          <w:p w14:paraId="59E1187B">
            <w:pPr>
              <w:adjustRightInd w:val="0"/>
              <w:snapToGrid w:val="0"/>
              <w:spacing w:line="24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标准号</w:t>
            </w:r>
          </w:p>
        </w:tc>
        <w:tc>
          <w:tcPr>
            <w:tcW w:w="6463" w:type="dxa"/>
            <w:shd w:val="clear" w:color="000000" w:fill="FFFFFF"/>
            <w:noWrap w:val="0"/>
            <w:vAlign w:val="center"/>
          </w:tcPr>
          <w:p w14:paraId="624CAABC">
            <w:pPr>
              <w:adjustRightInd w:val="0"/>
              <w:snapToGrid w:val="0"/>
              <w:spacing w:line="24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标准名称</w:t>
            </w:r>
          </w:p>
        </w:tc>
      </w:tr>
      <w:tr w14:paraId="0909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noWrap w:val="0"/>
            <w:vAlign w:val="center"/>
          </w:tcPr>
          <w:p w14:paraId="5918941C">
            <w:pPr>
              <w:widowControl/>
              <w:spacing w:line="240" w:lineRule="auto"/>
              <w:jc w:val="center"/>
              <w:textAlignment w:val="center"/>
              <w:rPr>
                <w:rFonts w:hint="eastAsia" w:ascii="宋体" w:hAnsi="宋体" w:cs="宋体"/>
                <w:color w:val="auto"/>
                <w:kern w:val="0"/>
                <w:sz w:val="24"/>
                <w:highlight w:val="none"/>
              </w:rPr>
            </w:pPr>
            <w:bookmarkStart w:id="0" w:name="_Hlk534882213"/>
            <w:r>
              <w:rPr>
                <w:rFonts w:hint="eastAsia" w:ascii="宋体" w:hAnsi="宋体" w:cs="宋体"/>
                <w:color w:val="auto"/>
                <w:kern w:val="0"/>
                <w:sz w:val="24"/>
                <w:highlight w:val="none"/>
              </w:rPr>
              <w:t>1</w:t>
            </w:r>
          </w:p>
        </w:tc>
        <w:tc>
          <w:tcPr>
            <w:tcW w:w="1720" w:type="dxa"/>
            <w:noWrap w:val="0"/>
            <w:vAlign w:val="center"/>
          </w:tcPr>
          <w:p w14:paraId="54FCFB37">
            <w:pPr>
              <w:widowControl/>
              <w:spacing w:line="240" w:lineRule="auto"/>
              <w:jc w:val="left"/>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color w:val="auto"/>
                <w:kern w:val="0"/>
                <w:sz w:val="24"/>
                <w:highlight w:val="none"/>
                <w:lang w:eastAsia="zh-CN" w:bidi="ar"/>
              </w:rPr>
              <w:t>QB/T 4572</w:t>
            </w:r>
          </w:p>
        </w:tc>
        <w:tc>
          <w:tcPr>
            <w:tcW w:w="6463" w:type="dxa"/>
            <w:noWrap w:val="0"/>
            <w:vAlign w:val="center"/>
          </w:tcPr>
          <w:p w14:paraId="14A66701">
            <w:pPr>
              <w:widowControl/>
              <w:spacing w:line="240" w:lineRule="auto"/>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val="en-US" w:eastAsia="zh-CN" w:bidi="ar"/>
              </w:rPr>
              <w:t>酵母β-葡聚糖</w:t>
            </w:r>
          </w:p>
        </w:tc>
      </w:tr>
      <w:bookmarkEnd w:id="0"/>
      <w:tr w14:paraId="61A2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noWrap w:val="0"/>
            <w:vAlign w:val="center"/>
          </w:tcPr>
          <w:p w14:paraId="338DF4D6">
            <w:pPr>
              <w:widowControl/>
              <w:spacing w:line="240" w:lineRule="auto"/>
              <w:jc w:val="center"/>
              <w:textAlignment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1720" w:type="dxa"/>
            <w:noWrap w:val="0"/>
            <w:vAlign w:val="center"/>
          </w:tcPr>
          <w:p w14:paraId="5941DE06">
            <w:pPr>
              <w:widowControl/>
              <w:spacing w:line="240" w:lineRule="auto"/>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GB/T 191</w:t>
            </w:r>
          </w:p>
        </w:tc>
        <w:tc>
          <w:tcPr>
            <w:tcW w:w="6463" w:type="dxa"/>
            <w:noWrap w:val="0"/>
            <w:vAlign w:val="center"/>
          </w:tcPr>
          <w:p w14:paraId="72E97929">
            <w:pPr>
              <w:widowControl/>
              <w:spacing w:line="240" w:lineRule="auto"/>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包装储运图示标志  </w:t>
            </w:r>
          </w:p>
        </w:tc>
      </w:tr>
      <w:tr w14:paraId="0D44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2A353D84">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3</w:t>
            </w:r>
          </w:p>
        </w:tc>
        <w:tc>
          <w:tcPr>
            <w:tcW w:w="1720" w:type="dxa"/>
            <w:noWrap w:val="0"/>
            <w:vAlign w:val="center"/>
          </w:tcPr>
          <w:p w14:paraId="60778EEE">
            <w:pPr>
              <w:widowControl/>
              <w:spacing w:line="240" w:lineRule="auto"/>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GB 1886.20</w:t>
            </w:r>
          </w:p>
        </w:tc>
        <w:tc>
          <w:tcPr>
            <w:tcW w:w="6463" w:type="dxa"/>
            <w:noWrap w:val="0"/>
            <w:vAlign w:val="center"/>
          </w:tcPr>
          <w:p w14:paraId="654CC612">
            <w:pPr>
              <w:widowControl/>
              <w:spacing w:line="240" w:lineRule="auto"/>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食品安全国家标准 食品添加剂 氢氧化钠</w:t>
            </w:r>
          </w:p>
        </w:tc>
      </w:tr>
      <w:tr w14:paraId="7150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564C551A">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4</w:t>
            </w:r>
          </w:p>
        </w:tc>
        <w:tc>
          <w:tcPr>
            <w:tcW w:w="1720" w:type="dxa"/>
            <w:noWrap w:val="0"/>
            <w:vAlign w:val="center"/>
          </w:tcPr>
          <w:p w14:paraId="7C4603CE">
            <w:pPr>
              <w:widowControl/>
              <w:spacing w:line="240" w:lineRule="auto"/>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GB 1886.235</w:t>
            </w:r>
          </w:p>
        </w:tc>
        <w:tc>
          <w:tcPr>
            <w:tcW w:w="6463" w:type="dxa"/>
            <w:noWrap w:val="0"/>
            <w:vAlign w:val="center"/>
          </w:tcPr>
          <w:p w14:paraId="283EBE3D">
            <w:pPr>
              <w:widowControl/>
              <w:spacing w:line="240" w:lineRule="auto"/>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食品安全国家标准 食品添加剂 柠檬酸</w:t>
            </w:r>
          </w:p>
        </w:tc>
      </w:tr>
      <w:tr w14:paraId="0FF4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65BEF197">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5</w:t>
            </w:r>
          </w:p>
        </w:tc>
        <w:tc>
          <w:tcPr>
            <w:tcW w:w="1720" w:type="dxa"/>
            <w:noWrap w:val="0"/>
            <w:vAlign w:val="center"/>
          </w:tcPr>
          <w:p w14:paraId="24047A45">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GB 2760</w:t>
            </w:r>
          </w:p>
        </w:tc>
        <w:tc>
          <w:tcPr>
            <w:tcW w:w="6463" w:type="dxa"/>
            <w:noWrap w:val="0"/>
            <w:vAlign w:val="center"/>
          </w:tcPr>
          <w:p w14:paraId="3EF46A37">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食品安全国家标准 食品添加剂使用标准</w:t>
            </w:r>
          </w:p>
        </w:tc>
      </w:tr>
      <w:tr w14:paraId="38C4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4CFE9970">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6</w:t>
            </w:r>
          </w:p>
        </w:tc>
        <w:tc>
          <w:tcPr>
            <w:tcW w:w="1720" w:type="dxa"/>
            <w:noWrap w:val="0"/>
            <w:vAlign w:val="center"/>
          </w:tcPr>
          <w:p w14:paraId="4230F9B4">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GB 2762</w:t>
            </w:r>
          </w:p>
        </w:tc>
        <w:tc>
          <w:tcPr>
            <w:tcW w:w="6463" w:type="dxa"/>
            <w:noWrap w:val="0"/>
            <w:vAlign w:val="center"/>
          </w:tcPr>
          <w:p w14:paraId="6CE4CFFC">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食品安全国家标准 食品中污染物限量</w:t>
            </w:r>
          </w:p>
        </w:tc>
      </w:tr>
      <w:tr w14:paraId="6AEF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2C046351">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7</w:t>
            </w:r>
          </w:p>
        </w:tc>
        <w:tc>
          <w:tcPr>
            <w:tcW w:w="1720" w:type="dxa"/>
            <w:noWrap w:val="0"/>
            <w:vAlign w:val="center"/>
          </w:tcPr>
          <w:p w14:paraId="4D413928">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GB 2763</w:t>
            </w:r>
          </w:p>
        </w:tc>
        <w:tc>
          <w:tcPr>
            <w:tcW w:w="6463" w:type="dxa"/>
            <w:noWrap w:val="0"/>
            <w:vAlign w:val="center"/>
          </w:tcPr>
          <w:p w14:paraId="589DA15E">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食品安全国家标准 食品中农药最大残留限量</w:t>
            </w:r>
          </w:p>
        </w:tc>
      </w:tr>
      <w:tr w14:paraId="3EBC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69ECDCF5">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8</w:t>
            </w:r>
          </w:p>
        </w:tc>
        <w:tc>
          <w:tcPr>
            <w:tcW w:w="1720" w:type="dxa"/>
            <w:noWrap w:val="0"/>
            <w:vAlign w:val="center"/>
          </w:tcPr>
          <w:p w14:paraId="1B7F206C">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 xml:space="preserve">GB 5749 </w:t>
            </w:r>
          </w:p>
        </w:tc>
        <w:tc>
          <w:tcPr>
            <w:tcW w:w="6463" w:type="dxa"/>
            <w:noWrap w:val="0"/>
            <w:vAlign w:val="center"/>
          </w:tcPr>
          <w:p w14:paraId="7CFE1AD9">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生活饮用水卫生标准</w:t>
            </w:r>
          </w:p>
        </w:tc>
      </w:tr>
      <w:tr w14:paraId="3271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2FF973B1">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9</w:t>
            </w:r>
          </w:p>
        </w:tc>
        <w:tc>
          <w:tcPr>
            <w:tcW w:w="1720" w:type="dxa"/>
            <w:noWrap w:val="0"/>
            <w:vAlign w:val="center"/>
          </w:tcPr>
          <w:p w14:paraId="7E3C2B82">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 xml:space="preserve">GB 7718 </w:t>
            </w:r>
          </w:p>
        </w:tc>
        <w:tc>
          <w:tcPr>
            <w:tcW w:w="6463" w:type="dxa"/>
            <w:noWrap w:val="0"/>
            <w:vAlign w:val="center"/>
          </w:tcPr>
          <w:p w14:paraId="60767F66">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食品安全国家标准 预包装食品标签通则</w:t>
            </w:r>
          </w:p>
        </w:tc>
      </w:tr>
      <w:tr w14:paraId="028C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703AA6EB">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10</w:t>
            </w:r>
          </w:p>
        </w:tc>
        <w:tc>
          <w:tcPr>
            <w:tcW w:w="1720" w:type="dxa"/>
            <w:noWrap w:val="0"/>
            <w:vAlign w:val="center"/>
          </w:tcPr>
          <w:p w14:paraId="64EAD56B">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GB 14881</w:t>
            </w:r>
          </w:p>
        </w:tc>
        <w:tc>
          <w:tcPr>
            <w:tcW w:w="6463" w:type="dxa"/>
            <w:noWrap w:val="0"/>
            <w:vAlign w:val="center"/>
          </w:tcPr>
          <w:p w14:paraId="7E66D179">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食品安全国家标准 食品生产通用卫生规范</w:t>
            </w:r>
          </w:p>
        </w:tc>
      </w:tr>
      <w:tr w14:paraId="0838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108EEEA0">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11</w:t>
            </w:r>
          </w:p>
        </w:tc>
        <w:tc>
          <w:tcPr>
            <w:tcW w:w="1720" w:type="dxa"/>
            <w:noWrap w:val="0"/>
            <w:vAlign w:val="center"/>
          </w:tcPr>
          <w:p w14:paraId="5EAD93C0">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GB 15203</w:t>
            </w:r>
          </w:p>
        </w:tc>
        <w:tc>
          <w:tcPr>
            <w:tcW w:w="6463" w:type="dxa"/>
            <w:noWrap w:val="0"/>
            <w:vAlign w:val="center"/>
          </w:tcPr>
          <w:p w14:paraId="21076379">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食品安全国家标准淀粉糖</w:t>
            </w:r>
          </w:p>
        </w:tc>
      </w:tr>
      <w:tr w14:paraId="0F65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4037BF39">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rPr>
              <w:t>12</w:t>
            </w:r>
          </w:p>
        </w:tc>
        <w:tc>
          <w:tcPr>
            <w:tcW w:w="1720" w:type="dxa"/>
            <w:noWrap w:val="0"/>
            <w:vAlign w:val="center"/>
          </w:tcPr>
          <w:p w14:paraId="2B0739A0">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GB/T 20886.1</w:t>
            </w:r>
          </w:p>
        </w:tc>
        <w:tc>
          <w:tcPr>
            <w:tcW w:w="6463" w:type="dxa"/>
            <w:noWrap w:val="0"/>
            <w:vAlign w:val="center"/>
          </w:tcPr>
          <w:p w14:paraId="444FCB5F">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酵母产品质量要求 第1部分：食品加工用酵母</w:t>
            </w:r>
          </w:p>
        </w:tc>
      </w:tr>
      <w:tr w14:paraId="274C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shd w:val="clear" w:color="auto" w:fill="auto"/>
            <w:noWrap w:val="0"/>
            <w:vAlign w:val="center"/>
          </w:tcPr>
          <w:p w14:paraId="6854E96E">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13</w:t>
            </w:r>
          </w:p>
        </w:tc>
        <w:tc>
          <w:tcPr>
            <w:tcW w:w="1720" w:type="dxa"/>
            <w:noWrap w:val="0"/>
            <w:vAlign w:val="center"/>
          </w:tcPr>
          <w:p w14:paraId="20AC9865">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GB 28050</w:t>
            </w:r>
          </w:p>
        </w:tc>
        <w:tc>
          <w:tcPr>
            <w:tcW w:w="6463" w:type="dxa"/>
            <w:noWrap w:val="0"/>
            <w:vAlign w:val="center"/>
          </w:tcPr>
          <w:p w14:paraId="42696C9D">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食品安全国家标准 预包装食品营养标签通则</w:t>
            </w:r>
          </w:p>
        </w:tc>
      </w:tr>
      <w:tr w14:paraId="0436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4" w:type="dxa"/>
            <w:noWrap w:val="0"/>
            <w:vAlign w:val="center"/>
          </w:tcPr>
          <w:p w14:paraId="320C66A7">
            <w:pPr>
              <w:widowControl/>
              <w:spacing w:line="240" w:lineRule="auto"/>
              <w:jc w:val="center"/>
              <w:textAlignment w:val="center"/>
              <w:rPr>
                <w:rFonts w:hint="default" w:ascii="宋体" w:hAnsi="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14</w:t>
            </w:r>
          </w:p>
        </w:tc>
        <w:tc>
          <w:tcPr>
            <w:tcW w:w="1720" w:type="dxa"/>
            <w:noWrap w:val="0"/>
            <w:vAlign w:val="center"/>
          </w:tcPr>
          <w:p w14:paraId="4991491C">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JJF 1070</w:t>
            </w:r>
          </w:p>
        </w:tc>
        <w:tc>
          <w:tcPr>
            <w:tcW w:w="6463" w:type="dxa"/>
            <w:noWrap w:val="0"/>
            <w:vAlign w:val="center"/>
          </w:tcPr>
          <w:p w14:paraId="3F8FB58F">
            <w:pPr>
              <w:widowControl/>
              <w:spacing w:line="24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highlight w:val="none"/>
                <w:lang w:bidi="ar"/>
              </w:rPr>
              <w:t xml:space="preserve">定量包装商品净含量计量检验规则  </w:t>
            </w:r>
          </w:p>
        </w:tc>
      </w:tr>
    </w:tbl>
    <w:p w14:paraId="72A31F05">
      <w:pPr>
        <w:spacing w:line="240" w:lineRule="auto"/>
        <w:ind w:firstLine="240" w:firstLineChars="100"/>
        <w:rPr>
          <w:rFonts w:ascii="Times New Roman" w:hAnsi="Times New Roman"/>
          <w:color w:val="auto"/>
          <w:kern w:val="0"/>
          <w:sz w:val="24"/>
          <w:highlight w:val="none"/>
        </w:rPr>
        <w:sectPr>
          <w:pgSz w:w="11906" w:h="16838"/>
          <w:pgMar w:top="1440" w:right="1531" w:bottom="1440" w:left="1531" w:header="851" w:footer="992" w:gutter="0"/>
          <w:cols w:space="720" w:num="1"/>
          <w:docGrid w:type="lines" w:linePitch="312" w:charSpace="0"/>
        </w:sectPr>
      </w:pPr>
      <w:r>
        <w:rPr>
          <w:rFonts w:hint="eastAsia" w:ascii="Times New Roman" w:hAnsi="Times New Roman" w:eastAsia="仿宋_GB2312"/>
          <w:color w:val="auto"/>
          <w:kern w:val="0"/>
          <w:sz w:val="24"/>
          <w:highlight w:val="none"/>
        </w:rPr>
        <w:t>本表为</w:t>
      </w:r>
      <w:r>
        <w:rPr>
          <w:rFonts w:hint="eastAsia" w:ascii="Times New Roman" w:hAnsi="Times New Roman" w:eastAsia="仿宋_GB2312"/>
          <w:color w:val="auto"/>
          <w:kern w:val="0"/>
          <w:sz w:val="24"/>
          <w:highlight w:val="none"/>
          <w:lang w:eastAsia="zh-CN"/>
        </w:rPr>
        <w:t>其他食品（酵母β-葡聚糖）</w:t>
      </w:r>
      <w:r>
        <w:rPr>
          <w:rFonts w:hint="eastAsia" w:ascii="Times New Roman" w:hAnsi="Times New Roman" w:eastAsia="仿宋_GB2312"/>
          <w:color w:val="auto"/>
          <w:kern w:val="0"/>
          <w:sz w:val="24"/>
          <w:highlight w:val="none"/>
        </w:rPr>
        <w:t>生产涉及的主要标准，仅供参考。</w:t>
      </w:r>
    </w:p>
    <w:p w14:paraId="766927B1">
      <w:pPr>
        <w:pStyle w:val="9"/>
        <w:spacing w:line="240" w:lineRule="auto"/>
        <w:rPr>
          <w:rFonts w:ascii="Times New Roman" w:hAnsi="Times New Roman"/>
          <w:color w:val="auto"/>
          <w:sz w:val="28"/>
          <w:szCs w:val="22"/>
          <w:highlight w:val="none"/>
        </w:rPr>
      </w:pPr>
      <w:r>
        <w:rPr>
          <w:rFonts w:hint="eastAsia" w:ascii="黑体" w:hAnsi="黑体" w:eastAsia="黑体"/>
          <w:color w:val="auto"/>
          <w:sz w:val="28"/>
          <w:szCs w:val="22"/>
          <w:highlight w:val="none"/>
        </w:rPr>
        <w:t>附件</w:t>
      </w:r>
      <w:r>
        <w:rPr>
          <w:rFonts w:ascii="黑体" w:hAnsi="黑体" w:eastAsia="黑体"/>
          <w:color w:val="auto"/>
          <w:sz w:val="28"/>
          <w:szCs w:val="22"/>
          <w:highlight w:val="none"/>
        </w:rPr>
        <w:t>2</w:t>
      </w:r>
    </w:p>
    <w:p w14:paraId="4AC97ADD">
      <w:pPr>
        <w:pStyle w:val="33"/>
        <w:spacing w:line="240" w:lineRule="auto"/>
        <w:rPr>
          <w:rFonts w:ascii="Times New Roman" w:hAnsi="Times New Roman" w:eastAsia="方正小标宋简体"/>
          <w:b w:val="0"/>
          <w:color w:val="auto"/>
          <w:sz w:val="32"/>
          <w:szCs w:val="32"/>
          <w:highlight w:val="none"/>
        </w:rPr>
      </w:pPr>
      <w:r>
        <w:rPr>
          <w:rFonts w:hint="eastAsia" w:ascii="Times New Roman" w:hAnsi="Times New Roman" w:eastAsia="方正小标宋简体"/>
          <w:b w:val="0"/>
          <w:color w:val="auto"/>
          <w:sz w:val="32"/>
          <w:szCs w:val="32"/>
          <w:highlight w:val="none"/>
          <w:lang w:eastAsia="zh-CN"/>
        </w:rPr>
        <w:t>其他食品（酵母β-葡聚糖）</w:t>
      </w:r>
      <w:r>
        <w:rPr>
          <w:rFonts w:ascii="Times New Roman" w:hAnsi="Times New Roman" w:eastAsia="方正小标宋简体"/>
          <w:b w:val="0"/>
          <w:color w:val="auto"/>
          <w:sz w:val="32"/>
          <w:szCs w:val="32"/>
          <w:highlight w:val="none"/>
        </w:rPr>
        <w:t>规定的检验项目与方法</w:t>
      </w:r>
    </w:p>
    <w:tbl>
      <w:tblPr>
        <w:tblStyle w:val="17"/>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504"/>
        <w:gridCol w:w="2303"/>
        <w:gridCol w:w="1395"/>
        <w:gridCol w:w="2859"/>
        <w:gridCol w:w="1942"/>
      </w:tblGrid>
      <w:tr w14:paraId="18CB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tblHeader/>
          <w:jc w:val="center"/>
        </w:trPr>
        <w:tc>
          <w:tcPr>
            <w:tcW w:w="504" w:type="dxa"/>
            <w:shd w:val="clear" w:color="auto" w:fill="FFFFFF"/>
            <w:noWrap w:val="0"/>
            <w:vAlign w:val="center"/>
          </w:tcPr>
          <w:p w14:paraId="35558E03">
            <w:pPr>
              <w:spacing w:line="240" w:lineRule="auto"/>
              <w:jc w:val="center"/>
              <w:rPr>
                <w:rFonts w:ascii="Times New Roman" w:hAnsi="Times New Roman" w:eastAsia="仿宋_GB2312"/>
                <w:b/>
                <w:color w:val="auto"/>
                <w:sz w:val="24"/>
                <w:highlight w:val="none"/>
              </w:rPr>
            </w:pPr>
            <w:r>
              <w:rPr>
                <w:rFonts w:hint="eastAsia" w:ascii="Times New Roman" w:hAnsi="Times New Roman" w:eastAsia="仿宋_GB2312"/>
                <w:b/>
                <w:color w:val="auto"/>
                <w:sz w:val="24"/>
                <w:highlight w:val="none"/>
              </w:rPr>
              <w:t>序号</w:t>
            </w:r>
          </w:p>
        </w:tc>
        <w:tc>
          <w:tcPr>
            <w:tcW w:w="2303" w:type="dxa"/>
            <w:shd w:val="clear" w:color="auto" w:fill="FFFFFF"/>
            <w:noWrap w:val="0"/>
            <w:vAlign w:val="center"/>
          </w:tcPr>
          <w:p w14:paraId="76755D1A">
            <w:pPr>
              <w:spacing w:line="240" w:lineRule="auto"/>
              <w:jc w:val="center"/>
              <w:rPr>
                <w:rFonts w:ascii="Times New Roman" w:hAnsi="Times New Roman" w:eastAsia="仿宋_GB2312"/>
                <w:b/>
                <w:color w:val="auto"/>
                <w:sz w:val="24"/>
                <w:highlight w:val="none"/>
              </w:rPr>
            </w:pPr>
            <w:r>
              <w:rPr>
                <w:rFonts w:hint="eastAsia" w:ascii="Times New Roman" w:hAnsi="Times New Roman" w:eastAsia="仿宋_GB2312"/>
                <w:b/>
                <w:color w:val="auto"/>
                <w:sz w:val="24"/>
                <w:highlight w:val="none"/>
              </w:rPr>
              <w:t>检验项目</w:t>
            </w:r>
          </w:p>
        </w:tc>
        <w:tc>
          <w:tcPr>
            <w:tcW w:w="1395" w:type="dxa"/>
            <w:shd w:val="clear" w:color="auto" w:fill="FFFFFF"/>
            <w:noWrap w:val="0"/>
            <w:vAlign w:val="center"/>
          </w:tcPr>
          <w:p w14:paraId="2191F6A0">
            <w:pPr>
              <w:spacing w:line="240" w:lineRule="auto"/>
              <w:jc w:val="center"/>
              <w:rPr>
                <w:rFonts w:ascii="Times New Roman" w:hAnsi="Times New Roman" w:eastAsia="仿宋_GB2312"/>
                <w:b/>
                <w:color w:val="auto"/>
                <w:sz w:val="24"/>
                <w:highlight w:val="none"/>
              </w:rPr>
            </w:pPr>
            <w:r>
              <w:rPr>
                <w:rFonts w:hint="eastAsia" w:ascii="Times New Roman" w:hAnsi="Times New Roman" w:eastAsia="仿宋_GB2312"/>
                <w:b/>
                <w:color w:val="auto"/>
                <w:sz w:val="24"/>
                <w:highlight w:val="none"/>
              </w:rPr>
              <w:t>标准号</w:t>
            </w:r>
          </w:p>
        </w:tc>
        <w:tc>
          <w:tcPr>
            <w:tcW w:w="2859" w:type="dxa"/>
            <w:shd w:val="clear" w:color="auto" w:fill="FFFFFF"/>
            <w:noWrap w:val="0"/>
            <w:vAlign w:val="center"/>
          </w:tcPr>
          <w:p w14:paraId="4EE469DD">
            <w:pPr>
              <w:spacing w:line="240" w:lineRule="auto"/>
              <w:jc w:val="center"/>
              <w:rPr>
                <w:rFonts w:ascii="Times New Roman" w:hAnsi="Times New Roman" w:eastAsia="仿宋_GB2312"/>
                <w:b/>
                <w:color w:val="auto"/>
                <w:sz w:val="24"/>
                <w:highlight w:val="none"/>
              </w:rPr>
            </w:pPr>
            <w:r>
              <w:rPr>
                <w:rFonts w:hint="eastAsia" w:ascii="Times New Roman" w:hAnsi="Times New Roman" w:eastAsia="仿宋_GB2312"/>
                <w:b/>
                <w:color w:val="auto"/>
                <w:sz w:val="24"/>
                <w:highlight w:val="none"/>
              </w:rPr>
              <w:t>标准名称</w:t>
            </w:r>
          </w:p>
        </w:tc>
        <w:tc>
          <w:tcPr>
            <w:tcW w:w="1942" w:type="dxa"/>
            <w:shd w:val="clear" w:color="auto" w:fill="FFFFFF"/>
            <w:noWrap w:val="0"/>
            <w:vAlign w:val="center"/>
          </w:tcPr>
          <w:p w14:paraId="3BE08218">
            <w:pPr>
              <w:spacing w:line="240" w:lineRule="auto"/>
              <w:jc w:val="center"/>
              <w:rPr>
                <w:rFonts w:ascii="Times New Roman" w:hAnsi="Times New Roman" w:eastAsia="仿宋_GB2312"/>
                <w:b/>
                <w:color w:val="auto"/>
                <w:sz w:val="24"/>
                <w:highlight w:val="none"/>
              </w:rPr>
            </w:pPr>
            <w:r>
              <w:rPr>
                <w:rFonts w:hint="eastAsia" w:ascii="Times New Roman" w:hAnsi="Times New Roman" w:eastAsia="仿宋_GB2312"/>
                <w:b/>
                <w:color w:val="auto"/>
                <w:sz w:val="24"/>
                <w:highlight w:val="none"/>
              </w:rPr>
              <w:t>检验方法</w:t>
            </w:r>
          </w:p>
        </w:tc>
      </w:tr>
      <w:tr w14:paraId="2D0A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tblHeader/>
          <w:jc w:val="center"/>
        </w:trPr>
        <w:tc>
          <w:tcPr>
            <w:tcW w:w="504" w:type="dxa"/>
            <w:shd w:val="clear" w:color="auto" w:fill="FFFFFF"/>
            <w:noWrap w:val="0"/>
            <w:vAlign w:val="center"/>
          </w:tcPr>
          <w:p w14:paraId="09ED6827">
            <w:pPr>
              <w:adjustRightInd w:val="0"/>
              <w:snapToGrid w:val="0"/>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ascii="Times New Roman" w:hAnsi="Times New Roman" w:eastAsia="仿宋_GB2312"/>
                <w:color w:val="auto"/>
                <w:sz w:val="24"/>
                <w:highlight w:val="none"/>
              </w:rPr>
              <w:t>1</w:t>
            </w:r>
          </w:p>
        </w:tc>
        <w:tc>
          <w:tcPr>
            <w:tcW w:w="2303" w:type="dxa"/>
            <w:shd w:val="clear" w:color="auto" w:fill="FFFFFF"/>
            <w:noWrap w:val="0"/>
            <w:vAlign w:val="center"/>
          </w:tcPr>
          <w:p w14:paraId="78D562AA">
            <w:pPr>
              <w:spacing w:line="240" w:lineRule="auto"/>
              <w:jc w:val="center"/>
              <w:rPr>
                <w:rFonts w:hint="eastAsia" w:ascii="Times New Roman" w:hAnsi="Times New Roman" w:eastAsia="仿宋_GB2312"/>
                <w:color w:val="auto"/>
                <w:sz w:val="24"/>
                <w:highlight w:val="none"/>
                <w:lang w:val="en-US" w:eastAsia="zh-CN"/>
              </w:rPr>
            </w:pPr>
            <w:r>
              <w:rPr>
                <w:rFonts w:hint="eastAsia" w:ascii="Times New Roman" w:hAnsi="Times New Roman" w:eastAsia="仿宋_GB2312"/>
                <w:color w:val="auto"/>
                <w:sz w:val="24"/>
                <w:highlight w:val="none"/>
                <w:lang w:val="en-US" w:eastAsia="zh-CN"/>
              </w:rPr>
              <w:t>鉴别</w:t>
            </w:r>
          </w:p>
        </w:tc>
        <w:tc>
          <w:tcPr>
            <w:tcW w:w="1395" w:type="dxa"/>
            <w:shd w:val="clear" w:color="auto" w:fill="FFFFFF"/>
            <w:noWrap w:val="0"/>
            <w:vAlign w:val="center"/>
          </w:tcPr>
          <w:p w14:paraId="0E350AEC">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005A9209">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57DEE854">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QB/T 4572</w:t>
            </w:r>
          </w:p>
        </w:tc>
      </w:tr>
      <w:tr w14:paraId="3489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2965455B">
            <w:pPr>
              <w:spacing w:line="240" w:lineRule="auto"/>
              <w:jc w:val="center"/>
              <w:rPr>
                <w:rFonts w:ascii="Times New Roman" w:hAnsi="Times New Roman" w:eastAsia="仿宋_GB2312" w:cs="Times New Roman"/>
                <w:color w:val="auto"/>
                <w:kern w:val="2"/>
                <w:sz w:val="24"/>
                <w:szCs w:val="24"/>
                <w:highlight w:val="none"/>
                <w:lang w:val="en-US" w:eastAsia="zh-CN" w:bidi="ar-SA"/>
              </w:rPr>
            </w:pPr>
            <w:r>
              <w:rPr>
                <w:rFonts w:ascii="Times New Roman" w:hAnsi="Times New Roman" w:eastAsia="仿宋_GB2312"/>
                <w:color w:val="auto"/>
                <w:sz w:val="24"/>
                <w:highlight w:val="none"/>
              </w:rPr>
              <w:t>2</w:t>
            </w:r>
          </w:p>
        </w:tc>
        <w:tc>
          <w:tcPr>
            <w:tcW w:w="2303" w:type="dxa"/>
            <w:shd w:val="clear" w:color="auto" w:fill="FFFFFF"/>
            <w:noWrap w:val="0"/>
            <w:vAlign w:val="center"/>
          </w:tcPr>
          <w:p w14:paraId="02054A16">
            <w:pPr>
              <w:spacing w:line="240" w:lineRule="auto"/>
              <w:jc w:val="center"/>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感官</w:t>
            </w:r>
          </w:p>
        </w:tc>
        <w:tc>
          <w:tcPr>
            <w:tcW w:w="1395" w:type="dxa"/>
            <w:shd w:val="clear" w:color="auto" w:fill="FFFFFF"/>
            <w:noWrap w:val="0"/>
            <w:vAlign w:val="center"/>
          </w:tcPr>
          <w:p w14:paraId="545075A1">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34E6A88E">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20F1D0D5">
            <w:pPr>
              <w:spacing w:line="240" w:lineRule="auto"/>
              <w:jc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QB/T 4572</w:t>
            </w:r>
          </w:p>
        </w:tc>
      </w:tr>
      <w:tr w14:paraId="183D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1416E89C">
            <w:pPr>
              <w:spacing w:line="240" w:lineRule="auto"/>
              <w:jc w:val="center"/>
              <w:rPr>
                <w:rFonts w:ascii="Times New Roman" w:hAnsi="Times New Roman" w:eastAsia="仿宋_GB2312" w:cs="Times New Roman"/>
                <w:color w:val="auto"/>
                <w:kern w:val="2"/>
                <w:sz w:val="24"/>
                <w:szCs w:val="24"/>
                <w:highlight w:val="none"/>
                <w:lang w:val="en-US" w:eastAsia="zh-CN" w:bidi="ar-SA"/>
              </w:rPr>
            </w:pPr>
            <w:r>
              <w:rPr>
                <w:rFonts w:ascii="Times New Roman" w:hAnsi="Times New Roman" w:eastAsia="仿宋_GB2312"/>
                <w:color w:val="auto"/>
                <w:sz w:val="24"/>
                <w:highlight w:val="none"/>
              </w:rPr>
              <w:t>3</w:t>
            </w:r>
          </w:p>
        </w:tc>
        <w:tc>
          <w:tcPr>
            <w:tcW w:w="2303" w:type="dxa"/>
            <w:shd w:val="clear" w:color="auto" w:fill="FFFFFF"/>
            <w:noWrap w:val="0"/>
            <w:vAlign w:val="center"/>
          </w:tcPr>
          <w:p w14:paraId="3A003D7E">
            <w:pPr>
              <w:spacing w:line="240" w:lineRule="auto"/>
              <w:jc w:val="center"/>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酵母β-葡聚糖含量</w:t>
            </w:r>
          </w:p>
        </w:tc>
        <w:tc>
          <w:tcPr>
            <w:tcW w:w="1395" w:type="dxa"/>
            <w:shd w:val="clear" w:color="auto" w:fill="FFFFFF"/>
            <w:noWrap w:val="0"/>
            <w:vAlign w:val="center"/>
          </w:tcPr>
          <w:p w14:paraId="59A663F1">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5AC24187">
            <w:pPr>
              <w:widowControl/>
              <w:spacing w:line="24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3746528D">
            <w:pPr>
              <w:spacing w:line="240" w:lineRule="auto"/>
              <w:jc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QB/T 4572</w:t>
            </w:r>
          </w:p>
        </w:tc>
      </w:tr>
      <w:tr w14:paraId="5F5B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0CCD4170">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4</w:t>
            </w:r>
          </w:p>
        </w:tc>
        <w:tc>
          <w:tcPr>
            <w:tcW w:w="2303" w:type="dxa"/>
            <w:shd w:val="clear" w:color="auto" w:fill="FFFFFF"/>
            <w:noWrap w:val="0"/>
            <w:vAlign w:val="center"/>
          </w:tcPr>
          <w:p w14:paraId="23AA079A">
            <w:pPr>
              <w:spacing w:line="240" w:lineRule="auto"/>
              <w:jc w:val="center"/>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蛋白质</w:t>
            </w:r>
          </w:p>
        </w:tc>
        <w:tc>
          <w:tcPr>
            <w:tcW w:w="1395" w:type="dxa"/>
            <w:shd w:val="clear" w:color="auto" w:fill="FFFFFF"/>
            <w:noWrap w:val="0"/>
            <w:vAlign w:val="center"/>
          </w:tcPr>
          <w:p w14:paraId="6F895005">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5932F632">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555B359D">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5009.</w:t>
            </w:r>
            <w:r>
              <w:rPr>
                <w:rFonts w:hint="eastAsia" w:ascii="宋体" w:hAnsi="宋体" w:cs="宋体"/>
                <w:color w:val="auto"/>
                <w:kern w:val="0"/>
                <w:sz w:val="24"/>
                <w:highlight w:val="none"/>
                <w:lang w:val="en-US" w:eastAsia="zh-CN" w:bidi="ar"/>
              </w:rPr>
              <w:t>5</w:t>
            </w:r>
          </w:p>
        </w:tc>
      </w:tr>
      <w:tr w14:paraId="71B3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47C272A8">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5</w:t>
            </w:r>
          </w:p>
        </w:tc>
        <w:tc>
          <w:tcPr>
            <w:tcW w:w="2303" w:type="dxa"/>
            <w:shd w:val="clear" w:color="auto" w:fill="FFFFFF"/>
            <w:noWrap w:val="0"/>
            <w:vAlign w:val="center"/>
          </w:tcPr>
          <w:p w14:paraId="0105825C">
            <w:pPr>
              <w:spacing w:line="240" w:lineRule="auto"/>
              <w:jc w:val="center"/>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脂肪</w:t>
            </w:r>
          </w:p>
        </w:tc>
        <w:tc>
          <w:tcPr>
            <w:tcW w:w="1395" w:type="dxa"/>
            <w:shd w:val="clear" w:color="auto" w:fill="FFFFFF"/>
            <w:noWrap w:val="0"/>
            <w:vAlign w:val="center"/>
          </w:tcPr>
          <w:p w14:paraId="1DC1F9B8">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6232C737">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3D385D88">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5009.</w:t>
            </w:r>
            <w:r>
              <w:rPr>
                <w:rFonts w:hint="eastAsia" w:ascii="宋体" w:hAnsi="宋体" w:cs="宋体"/>
                <w:color w:val="auto"/>
                <w:kern w:val="0"/>
                <w:sz w:val="24"/>
                <w:highlight w:val="none"/>
                <w:lang w:val="en-US" w:eastAsia="zh-CN" w:bidi="ar"/>
              </w:rPr>
              <w:t>6</w:t>
            </w:r>
          </w:p>
        </w:tc>
      </w:tr>
      <w:tr w14:paraId="74A6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11D77341">
            <w:pPr>
              <w:spacing w:line="240" w:lineRule="auto"/>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6</w:t>
            </w:r>
          </w:p>
        </w:tc>
        <w:tc>
          <w:tcPr>
            <w:tcW w:w="2303" w:type="dxa"/>
            <w:shd w:val="clear" w:color="auto" w:fill="FFFFFF"/>
            <w:noWrap w:val="0"/>
            <w:vAlign w:val="center"/>
          </w:tcPr>
          <w:p w14:paraId="6AAE5029">
            <w:pPr>
              <w:spacing w:line="240" w:lineRule="auto"/>
              <w:jc w:val="center"/>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水分</w:t>
            </w:r>
          </w:p>
        </w:tc>
        <w:tc>
          <w:tcPr>
            <w:tcW w:w="1395" w:type="dxa"/>
            <w:shd w:val="clear" w:color="auto" w:fill="FFFFFF"/>
            <w:noWrap w:val="0"/>
            <w:vAlign w:val="center"/>
          </w:tcPr>
          <w:p w14:paraId="12D3AB1F">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QB/T 4572</w:t>
            </w:r>
          </w:p>
        </w:tc>
        <w:tc>
          <w:tcPr>
            <w:tcW w:w="2859" w:type="dxa"/>
            <w:shd w:val="clear" w:color="auto" w:fill="FFFFFF"/>
            <w:noWrap w:val="0"/>
            <w:vAlign w:val="center"/>
          </w:tcPr>
          <w:p w14:paraId="1BEFADCB">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6C1CA64E">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5009.</w:t>
            </w:r>
            <w:r>
              <w:rPr>
                <w:rFonts w:hint="eastAsia" w:ascii="宋体" w:hAnsi="宋体" w:cs="宋体"/>
                <w:color w:val="auto"/>
                <w:kern w:val="0"/>
                <w:sz w:val="24"/>
                <w:highlight w:val="none"/>
                <w:lang w:val="en-US" w:eastAsia="zh-CN" w:bidi="ar"/>
              </w:rPr>
              <w:t>3</w:t>
            </w:r>
          </w:p>
        </w:tc>
      </w:tr>
      <w:tr w14:paraId="5FC5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2F5F352B">
            <w:pPr>
              <w:spacing w:line="240" w:lineRule="auto"/>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7</w:t>
            </w:r>
          </w:p>
        </w:tc>
        <w:tc>
          <w:tcPr>
            <w:tcW w:w="2303" w:type="dxa"/>
            <w:shd w:val="clear" w:color="auto" w:fill="FFFFFF"/>
            <w:noWrap w:val="0"/>
            <w:vAlign w:val="center"/>
          </w:tcPr>
          <w:p w14:paraId="11031823">
            <w:pPr>
              <w:spacing w:line="240" w:lineRule="auto"/>
              <w:jc w:val="center"/>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总灰分</w:t>
            </w:r>
          </w:p>
        </w:tc>
        <w:tc>
          <w:tcPr>
            <w:tcW w:w="1395" w:type="dxa"/>
            <w:shd w:val="clear" w:color="auto" w:fill="FFFFFF"/>
            <w:noWrap w:val="0"/>
            <w:vAlign w:val="center"/>
          </w:tcPr>
          <w:p w14:paraId="4F56BADB">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QB/T 4572</w:t>
            </w:r>
          </w:p>
        </w:tc>
        <w:tc>
          <w:tcPr>
            <w:tcW w:w="2859" w:type="dxa"/>
            <w:shd w:val="clear" w:color="auto" w:fill="FFFFFF"/>
            <w:noWrap w:val="0"/>
            <w:vAlign w:val="center"/>
          </w:tcPr>
          <w:p w14:paraId="4FCA409A">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3FAD2B26">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5009.</w:t>
            </w:r>
            <w:r>
              <w:rPr>
                <w:rFonts w:hint="eastAsia" w:ascii="宋体" w:hAnsi="宋体" w:cs="宋体"/>
                <w:color w:val="auto"/>
                <w:kern w:val="0"/>
                <w:sz w:val="24"/>
                <w:highlight w:val="none"/>
                <w:lang w:val="en-US" w:eastAsia="zh-CN" w:bidi="ar"/>
              </w:rPr>
              <w:t>4</w:t>
            </w:r>
          </w:p>
        </w:tc>
      </w:tr>
      <w:tr w14:paraId="009A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34782AA4">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8</w:t>
            </w:r>
          </w:p>
        </w:tc>
        <w:tc>
          <w:tcPr>
            <w:tcW w:w="2303" w:type="dxa"/>
            <w:shd w:val="clear" w:color="auto" w:fill="FFFFFF"/>
            <w:noWrap w:val="0"/>
            <w:vAlign w:val="center"/>
          </w:tcPr>
          <w:p w14:paraId="54A99868">
            <w:pPr>
              <w:spacing w:line="240" w:lineRule="auto"/>
              <w:jc w:val="center"/>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铅</w:t>
            </w:r>
          </w:p>
        </w:tc>
        <w:tc>
          <w:tcPr>
            <w:tcW w:w="1395" w:type="dxa"/>
            <w:shd w:val="clear" w:color="auto" w:fill="FFFFFF"/>
            <w:noWrap w:val="0"/>
            <w:vAlign w:val="center"/>
          </w:tcPr>
          <w:p w14:paraId="77D9A00B">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GB 2762</w:t>
            </w:r>
          </w:p>
        </w:tc>
        <w:tc>
          <w:tcPr>
            <w:tcW w:w="2859" w:type="dxa"/>
            <w:shd w:val="clear" w:color="auto" w:fill="FFFFFF"/>
            <w:noWrap w:val="0"/>
            <w:vAlign w:val="center"/>
          </w:tcPr>
          <w:p w14:paraId="0FD0CA1E">
            <w:pPr>
              <w:spacing w:line="240" w:lineRule="auto"/>
              <w:jc w:val="center"/>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食品安全国家标准</w:t>
            </w:r>
          </w:p>
          <w:p w14:paraId="132AAFBC">
            <w:pPr>
              <w:spacing w:line="240" w:lineRule="auto"/>
              <w:jc w:val="center"/>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食品中污染物限量</w:t>
            </w:r>
          </w:p>
        </w:tc>
        <w:tc>
          <w:tcPr>
            <w:tcW w:w="1942" w:type="dxa"/>
            <w:shd w:val="clear" w:color="auto" w:fill="FFFFFF"/>
            <w:noWrap w:val="0"/>
            <w:vAlign w:val="center"/>
          </w:tcPr>
          <w:p w14:paraId="55D1C11D">
            <w:pPr>
              <w:spacing w:line="240" w:lineRule="auto"/>
              <w:jc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GB 5009.12</w:t>
            </w:r>
          </w:p>
        </w:tc>
      </w:tr>
      <w:tr w14:paraId="194B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21" w:hRule="atLeast"/>
          <w:jc w:val="center"/>
        </w:trPr>
        <w:tc>
          <w:tcPr>
            <w:tcW w:w="504" w:type="dxa"/>
            <w:shd w:val="clear" w:color="auto" w:fill="FFFFFF"/>
            <w:noWrap w:val="0"/>
            <w:vAlign w:val="center"/>
          </w:tcPr>
          <w:p w14:paraId="74E5156F">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9</w:t>
            </w:r>
          </w:p>
        </w:tc>
        <w:tc>
          <w:tcPr>
            <w:tcW w:w="2303" w:type="dxa"/>
            <w:shd w:val="clear" w:color="auto" w:fill="FFFFFF"/>
            <w:noWrap w:val="0"/>
            <w:vAlign w:val="center"/>
          </w:tcPr>
          <w:p w14:paraId="7C0476F0">
            <w:pPr>
              <w:spacing w:line="240" w:lineRule="auto"/>
              <w:jc w:val="center"/>
              <w:rPr>
                <w:rFonts w:hint="eastAsia" w:ascii="Times New Roman" w:hAnsi="Times New Roman" w:eastAsia="仿宋_GB2312"/>
                <w:color w:val="auto"/>
                <w:sz w:val="24"/>
                <w:highlight w:val="none"/>
                <w:lang w:val="en-US" w:eastAsia="zh-CN"/>
              </w:rPr>
            </w:pPr>
            <w:r>
              <w:rPr>
                <w:rFonts w:hint="eastAsia" w:ascii="Times New Roman" w:hAnsi="Times New Roman" w:eastAsia="仿宋_GB2312"/>
                <w:color w:val="auto"/>
                <w:sz w:val="24"/>
                <w:highlight w:val="none"/>
                <w:lang w:val="en-US" w:eastAsia="zh-CN"/>
              </w:rPr>
              <w:t>总砷</w:t>
            </w:r>
          </w:p>
        </w:tc>
        <w:tc>
          <w:tcPr>
            <w:tcW w:w="1395" w:type="dxa"/>
            <w:shd w:val="clear" w:color="auto" w:fill="FFFFFF"/>
            <w:noWrap w:val="0"/>
            <w:vAlign w:val="center"/>
          </w:tcPr>
          <w:p w14:paraId="6B532472">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GB 2762</w:t>
            </w:r>
          </w:p>
        </w:tc>
        <w:tc>
          <w:tcPr>
            <w:tcW w:w="2859" w:type="dxa"/>
            <w:shd w:val="clear" w:color="auto" w:fill="FFFFFF"/>
            <w:noWrap w:val="0"/>
            <w:vAlign w:val="center"/>
          </w:tcPr>
          <w:p w14:paraId="3F0E61A1">
            <w:pPr>
              <w:spacing w:line="240" w:lineRule="auto"/>
              <w:jc w:val="center"/>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食品安全国家标准</w:t>
            </w:r>
          </w:p>
          <w:p w14:paraId="2C855D5B">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rPr>
              <w:t>食品中污染物限量</w:t>
            </w:r>
          </w:p>
        </w:tc>
        <w:tc>
          <w:tcPr>
            <w:tcW w:w="1942" w:type="dxa"/>
            <w:shd w:val="clear" w:color="auto" w:fill="FFFFFF"/>
            <w:noWrap w:val="0"/>
            <w:vAlign w:val="center"/>
          </w:tcPr>
          <w:p w14:paraId="17051814">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5009.1</w:t>
            </w:r>
            <w:r>
              <w:rPr>
                <w:rFonts w:hint="eastAsia" w:ascii="宋体" w:hAnsi="宋体" w:cs="宋体"/>
                <w:color w:val="auto"/>
                <w:kern w:val="0"/>
                <w:sz w:val="24"/>
                <w:highlight w:val="none"/>
                <w:lang w:val="en-US" w:eastAsia="zh-CN" w:bidi="ar"/>
              </w:rPr>
              <w:t>1</w:t>
            </w:r>
          </w:p>
        </w:tc>
      </w:tr>
      <w:tr w14:paraId="6C97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587E9D15">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10</w:t>
            </w:r>
          </w:p>
        </w:tc>
        <w:tc>
          <w:tcPr>
            <w:tcW w:w="2303" w:type="dxa"/>
            <w:shd w:val="clear" w:color="auto" w:fill="FFFFFF"/>
            <w:noWrap w:val="0"/>
            <w:vAlign w:val="center"/>
          </w:tcPr>
          <w:p w14:paraId="08DB1DB2">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highlight w:val="none"/>
              </w:rPr>
              <w:t>菌落总数</w:t>
            </w:r>
          </w:p>
        </w:tc>
        <w:tc>
          <w:tcPr>
            <w:tcW w:w="1395" w:type="dxa"/>
            <w:shd w:val="clear" w:color="auto" w:fill="FFFFFF"/>
            <w:noWrap w:val="0"/>
            <w:vAlign w:val="center"/>
          </w:tcPr>
          <w:p w14:paraId="3C1C87AB">
            <w:pPr>
              <w:widowControl/>
              <w:spacing w:line="240" w:lineRule="auto"/>
              <w:jc w:val="center"/>
              <w:textAlignment w:val="center"/>
              <w:rPr>
                <w:rFonts w:ascii="Times New Roman" w:hAnsi="Times New Roman" w:eastAsia="仿宋_GB2312" w:cs="Times New Roman"/>
                <w:color w:val="auto"/>
                <w:kern w:val="2"/>
                <w:sz w:val="24"/>
                <w:szCs w:val="24"/>
                <w:highlight w:val="none"/>
                <w:lang w:val="en-US" w:eastAsia="zh-CN" w:bidi="ar-SA"/>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49F12957">
            <w:pPr>
              <w:widowControl/>
              <w:spacing w:line="240" w:lineRule="auto"/>
              <w:jc w:val="center"/>
              <w:textAlignment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2872B06E">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4789.2</w:t>
            </w:r>
          </w:p>
        </w:tc>
      </w:tr>
      <w:tr w14:paraId="7931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0B9C252B">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11</w:t>
            </w:r>
          </w:p>
        </w:tc>
        <w:tc>
          <w:tcPr>
            <w:tcW w:w="2303" w:type="dxa"/>
            <w:shd w:val="clear" w:color="auto" w:fill="FFFFFF"/>
            <w:noWrap w:val="0"/>
            <w:vAlign w:val="center"/>
          </w:tcPr>
          <w:p w14:paraId="277F48FA">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highlight w:val="none"/>
              </w:rPr>
              <w:t>大肠菌群</w:t>
            </w:r>
          </w:p>
        </w:tc>
        <w:tc>
          <w:tcPr>
            <w:tcW w:w="1395" w:type="dxa"/>
            <w:shd w:val="clear" w:color="auto" w:fill="FFFFFF"/>
            <w:noWrap w:val="0"/>
            <w:vAlign w:val="center"/>
          </w:tcPr>
          <w:p w14:paraId="49632A05">
            <w:pPr>
              <w:widowControl/>
              <w:spacing w:line="240" w:lineRule="auto"/>
              <w:jc w:val="center"/>
              <w:textAlignment w:val="center"/>
              <w:rPr>
                <w:rFonts w:ascii="Times New Roman" w:hAnsi="Times New Roman" w:eastAsia="仿宋_GB2312" w:cs="Times New Roman"/>
                <w:color w:val="auto"/>
                <w:kern w:val="2"/>
                <w:sz w:val="24"/>
                <w:szCs w:val="24"/>
                <w:highlight w:val="none"/>
                <w:lang w:val="en-US" w:eastAsia="zh-CN" w:bidi="ar-SA"/>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06957824">
            <w:pPr>
              <w:widowControl/>
              <w:spacing w:line="240" w:lineRule="auto"/>
              <w:jc w:val="center"/>
              <w:textAlignment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0F1B593C">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4789.3</w:t>
            </w:r>
          </w:p>
        </w:tc>
      </w:tr>
      <w:tr w14:paraId="2D29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7F6D0838">
            <w:pPr>
              <w:spacing w:line="240" w:lineRule="auto"/>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12</w:t>
            </w:r>
          </w:p>
        </w:tc>
        <w:tc>
          <w:tcPr>
            <w:tcW w:w="2303" w:type="dxa"/>
            <w:shd w:val="clear" w:color="auto" w:fill="FFFFFF"/>
            <w:noWrap w:val="0"/>
            <w:vAlign w:val="center"/>
          </w:tcPr>
          <w:p w14:paraId="55E348C9">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沙氏门菌</w:t>
            </w:r>
          </w:p>
        </w:tc>
        <w:tc>
          <w:tcPr>
            <w:tcW w:w="1395" w:type="dxa"/>
            <w:shd w:val="clear" w:color="auto" w:fill="FFFFFF"/>
            <w:noWrap w:val="0"/>
            <w:vAlign w:val="center"/>
          </w:tcPr>
          <w:p w14:paraId="1190FF6B">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5644E795">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10279B73">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4789.4</w:t>
            </w:r>
          </w:p>
        </w:tc>
      </w:tr>
      <w:tr w14:paraId="057C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27D79A42">
            <w:pPr>
              <w:spacing w:line="240" w:lineRule="auto"/>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13</w:t>
            </w:r>
          </w:p>
        </w:tc>
        <w:tc>
          <w:tcPr>
            <w:tcW w:w="2303" w:type="dxa"/>
            <w:shd w:val="clear" w:color="auto" w:fill="FFFFFF"/>
            <w:noWrap w:val="0"/>
            <w:vAlign w:val="center"/>
          </w:tcPr>
          <w:p w14:paraId="3902EB94">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金黄色葡萄球菌</w:t>
            </w:r>
          </w:p>
        </w:tc>
        <w:tc>
          <w:tcPr>
            <w:tcW w:w="1395" w:type="dxa"/>
            <w:shd w:val="clear" w:color="auto" w:fill="FFFFFF"/>
            <w:noWrap w:val="0"/>
            <w:vAlign w:val="center"/>
          </w:tcPr>
          <w:p w14:paraId="3FDD4B0D">
            <w:pPr>
              <w:widowControl/>
              <w:spacing w:line="240" w:lineRule="auto"/>
              <w:jc w:val="center"/>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QB/T 4572</w:t>
            </w:r>
          </w:p>
        </w:tc>
        <w:tc>
          <w:tcPr>
            <w:tcW w:w="2859" w:type="dxa"/>
            <w:shd w:val="clear" w:color="auto" w:fill="FFFFFF"/>
            <w:noWrap w:val="0"/>
            <w:vAlign w:val="center"/>
          </w:tcPr>
          <w:p w14:paraId="0D4699D4">
            <w:pPr>
              <w:widowControl/>
              <w:spacing w:line="240" w:lineRule="auto"/>
              <w:jc w:val="center"/>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酵母β-葡聚糖</w:t>
            </w:r>
          </w:p>
        </w:tc>
        <w:tc>
          <w:tcPr>
            <w:tcW w:w="1942" w:type="dxa"/>
            <w:shd w:val="clear" w:color="auto" w:fill="FFFFFF"/>
            <w:noWrap w:val="0"/>
            <w:vAlign w:val="center"/>
          </w:tcPr>
          <w:p w14:paraId="065DD527">
            <w:pPr>
              <w:spacing w:line="240" w:lineRule="auto"/>
              <w:jc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GB 4789.</w:t>
            </w:r>
            <w:r>
              <w:rPr>
                <w:rFonts w:hint="eastAsia" w:ascii="宋体" w:hAnsi="宋体" w:cs="宋体"/>
                <w:color w:val="auto"/>
                <w:kern w:val="0"/>
                <w:sz w:val="24"/>
                <w:highlight w:val="none"/>
                <w:lang w:val="en-US" w:eastAsia="zh-CN" w:bidi="ar"/>
              </w:rPr>
              <w:t>1</w:t>
            </w:r>
            <w:r>
              <w:rPr>
                <w:rFonts w:hint="eastAsia" w:ascii="宋体" w:hAnsi="宋体" w:cs="宋体"/>
                <w:color w:val="auto"/>
                <w:kern w:val="0"/>
                <w:sz w:val="24"/>
                <w:highlight w:val="none"/>
                <w:lang w:eastAsia="zh-CN" w:bidi="ar"/>
              </w:rPr>
              <w:t>0</w:t>
            </w:r>
          </w:p>
        </w:tc>
      </w:tr>
      <w:tr w14:paraId="5E0C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shd w:val="clear" w:color="auto" w:fill="FFFFFF"/>
            <w:noWrap w:val="0"/>
            <w:vAlign w:val="center"/>
          </w:tcPr>
          <w:p w14:paraId="018F94F2">
            <w:pPr>
              <w:spacing w:line="240" w:lineRule="auto"/>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olor w:val="auto"/>
                <w:sz w:val="24"/>
                <w:highlight w:val="none"/>
                <w:lang w:val="en-US" w:eastAsia="zh-CN"/>
              </w:rPr>
              <w:t>14</w:t>
            </w:r>
          </w:p>
        </w:tc>
        <w:tc>
          <w:tcPr>
            <w:tcW w:w="2303" w:type="dxa"/>
            <w:shd w:val="clear" w:color="auto" w:fill="FFFFFF"/>
            <w:noWrap w:val="0"/>
            <w:vAlign w:val="center"/>
          </w:tcPr>
          <w:p w14:paraId="14726EDC">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食品添加剂</w:t>
            </w:r>
          </w:p>
        </w:tc>
        <w:tc>
          <w:tcPr>
            <w:tcW w:w="1395" w:type="dxa"/>
            <w:shd w:val="clear" w:color="auto" w:fill="FFFFFF"/>
            <w:noWrap w:val="0"/>
            <w:vAlign w:val="center"/>
          </w:tcPr>
          <w:p w14:paraId="4BA9FBBF">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fldChar w:fldCharType="begin"/>
            </w:r>
            <w:r>
              <w:rPr>
                <w:rFonts w:hint="eastAsia" w:ascii="宋体" w:hAnsi="宋体" w:cs="宋体"/>
                <w:color w:val="auto"/>
                <w:kern w:val="0"/>
                <w:sz w:val="24"/>
                <w:highlight w:val="none"/>
                <w:lang w:eastAsia="zh-CN" w:bidi="ar"/>
              </w:rPr>
              <w:instrText xml:space="preserve"> HYPERLINK "http://220.181.176.160/stdlinfo/servlet/com.sac.sacQuery.GjbzcxDetailServlet?std_code=GB%202759.2-2003" </w:instrText>
            </w:r>
            <w:r>
              <w:rPr>
                <w:rFonts w:hint="eastAsia" w:ascii="宋体" w:hAnsi="宋体" w:cs="宋体"/>
                <w:color w:val="auto"/>
                <w:kern w:val="0"/>
                <w:sz w:val="24"/>
                <w:highlight w:val="none"/>
                <w:lang w:eastAsia="zh-CN" w:bidi="ar"/>
              </w:rPr>
              <w:fldChar w:fldCharType="separate"/>
            </w:r>
            <w:r>
              <w:rPr>
                <w:rFonts w:hint="eastAsia" w:ascii="宋体" w:hAnsi="宋体" w:cs="宋体"/>
                <w:color w:val="auto"/>
                <w:kern w:val="0"/>
                <w:sz w:val="24"/>
                <w:highlight w:val="none"/>
                <w:lang w:eastAsia="zh-CN" w:bidi="ar"/>
              </w:rPr>
              <w:t xml:space="preserve">GB </w:t>
            </w:r>
            <w:r>
              <w:rPr>
                <w:rFonts w:hint="eastAsia" w:ascii="宋体" w:hAnsi="宋体" w:cs="宋体"/>
                <w:color w:val="auto"/>
                <w:kern w:val="0"/>
                <w:sz w:val="24"/>
                <w:highlight w:val="none"/>
                <w:lang w:eastAsia="zh-CN" w:bidi="ar"/>
              </w:rPr>
              <w:fldChar w:fldCharType="end"/>
            </w:r>
            <w:r>
              <w:rPr>
                <w:rFonts w:hint="eastAsia" w:ascii="宋体" w:hAnsi="宋体" w:cs="宋体"/>
                <w:color w:val="auto"/>
                <w:kern w:val="0"/>
                <w:sz w:val="24"/>
                <w:highlight w:val="none"/>
                <w:lang w:eastAsia="zh-CN" w:bidi="ar"/>
              </w:rPr>
              <w:t>2760</w:t>
            </w:r>
          </w:p>
        </w:tc>
        <w:tc>
          <w:tcPr>
            <w:tcW w:w="2859" w:type="dxa"/>
            <w:shd w:val="clear" w:color="auto" w:fill="FFFFFF"/>
            <w:noWrap w:val="0"/>
            <w:vAlign w:val="center"/>
          </w:tcPr>
          <w:p w14:paraId="6675F1B6">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食品安全国家标准</w:t>
            </w:r>
          </w:p>
          <w:p w14:paraId="0BFC0BA0">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食品添加剂使用标准</w:t>
            </w:r>
          </w:p>
        </w:tc>
        <w:tc>
          <w:tcPr>
            <w:tcW w:w="1942" w:type="dxa"/>
            <w:shd w:val="clear" w:color="auto" w:fill="FFFFFF"/>
            <w:noWrap w:val="0"/>
            <w:vAlign w:val="center"/>
          </w:tcPr>
          <w:p w14:paraId="595F91D6">
            <w:pPr>
              <w:spacing w:line="240" w:lineRule="auto"/>
              <w:jc w:val="center"/>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按照对应标准</w:t>
            </w:r>
          </w:p>
        </w:tc>
      </w:tr>
      <w:tr w14:paraId="6835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vMerge w:val="restart"/>
            <w:shd w:val="clear" w:color="auto" w:fill="FFFFFF"/>
            <w:noWrap w:val="0"/>
            <w:vAlign w:val="center"/>
          </w:tcPr>
          <w:p w14:paraId="1383EC12">
            <w:pPr>
              <w:spacing w:line="240" w:lineRule="auto"/>
              <w:jc w:val="center"/>
              <w:rPr>
                <w:rFonts w:hint="default" w:ascii="Times New Roman" w:hAnsi="Times New Roman" w:eastAsia="仿宋_GB2312"/>
                <w:color w:val="auto"/>
                <w:sz w:val="24"/>
                <w:highlight w:val="none"/>
                <w:lang w:val="en-US" w:eastAsia="zh-CN"/>
              </w:rPr>
            </w:pPr>
            <w:r>
              <w:rPr>
                <w:rFonts w:hint="eastAsia" w:ascii="Times New Roman" w:hAnsi="Times New Roman" w:eastAsia="仿宋_GB2312"/>
                <w:color w:val="auto"/>
                <w:sz w:val="24"/>
                <w:highlight w:val="none"/>
                <w:lang w:val="en-US" w:eastAsia="zh-CN"/>
              </w:rPr>
              <w:t>15</w:t>
            </w:r>
          </w:p>
        </w:tc>
        <w:tc>
          <w:tcPr>
            <w:tcW w:w="2303" w:type="dxa"/>
            <w:vMerge w:val="restart"/>
            <w:shd w:val="clear" w:color="auto" w:fill="FFFFFF"/>
            <w:noWrap w:val="0"/>
            <w:vAlign w:val="center"/>
          </w:tcPr>
          <w:p w14:paraId="71BA18B2">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标签</w:t>
            </w:r>
          </w:p>
        </w:tc>
        <w:tc>
          <w:tcPr>
            <w:tcW w:w="1395" w:type="dxa"/>
            <w:shd w:val="clear" w:color="auto" w:fill="FFFFFF"/>
            <w:noWrap w:val="0"/>
            <w:vAlign w:val="center"/>
          </w:tcPr>
          <w:p w14:paraId="654434F0">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GB 7718</w:t>
            </w:r>
          </w:p>
        </w:tc>
        <w:tc>
          <w:tcPr>
            <w:tcW w:w="2859" w:type="dxa"/>
            <w:shd w:val="clear" w:color="auto" w:fill="FFFFFF"/>
            <w:noWrap w:val="0"/>
            <w:vAlign w:val="center"/>
          </w:tcPr>
          <w:p w14:paraId="2B1C7C83">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食品安全国家标准</w:t>
            </w:r>
          </w:p>
          <w:p w14:paraId="77464B1C">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预包装食品标签通则</w:t>
            </w:r>
          </w:p>
        </w:tc>
        <w:tc>
          <w:tcPr>
            <w:tcW w:w="1942" w:type="dxa"/>
            <w:vMerge w:val="restart"/>
            <w:shd w:val="clear" w:color="auto" w:fill="FFFFFF"/>
            <w:noWrap w:val="0"/>
            <w:vAlign w:val="center"/>
          </w:tcPr>
          <w:p w14:paraId="0BA5E09B">
            <w:pPr>
              <w:spacing w:line="240" w:lineRule="auto"/>
              <w:jc w:val="center"/>
              <w:rPr>
                <w:rFonts w:ascii="Times New Roman" w:hAnsi="Times New Roman" w:eastAsia="仿宋_GB2312"/>
                <w:color w:val="auto"/>
                <w:sz w:val="24"/>
                <w:highlight w:val="none"/>
              </w:rPr>
            </w:pPr>
            <w:r>
              <w:rPr>
                <w:rFonts w:ascii="Times New Roman" w:hAnsi="Times New Roman" w:eastAsia="仿宋_GB2312"/>
                <w:color w:val="auto"/>
                <w:sz w:val="24"/>
                <w:highlight w:val="none"/>
              </w:rPr>
              <w:t>/</w:t>
            </w:r>
          </w:p>
        </w:tc>
      </w:tr>
      <w:tr w14:paraId="3B8D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67" w:hRule="atLeast"/>
          <w:jc w:val="center"/>
        </w:trPr>
        <w:tc>
          <w:tcPr>
            <w:tcW w:w="504" w:type="dxa"/>
            <w:vMerge w:val="continue"/>
            <w:shd w:val="clear" w:color="auto" w:fill="FFFFFF"/>
            <w:noWrap w:val="0"/>
            <w:vAlign w:val="center"/>
          </w:tcPr>
          <w:p w14:paraId="22F18A9C">
            <w:pPr>
              <w:spacing w:line="240" w:lineRule="auto"/>
              <w:jc w:val="center"/>
              <w:rPr>
                <w:rFonts w:ascii="Times New Roman" w:hAnsi="Times New Roman" w:eastAsia="仿宋_GB2312"/>
                <w:color w:val="auto"/>
                <w:sz w:val="24"/>
                <w:highlight w:val="none"/>
              </w:rPr>
            </w:pPr>
          </w:p>
        </w:tc>
        <w:tc>
          <w:tcPr>
            <w:tcW w:w="2303" w:type="dxa"/>
            <w:vMerge w:val="continue"/>
            <w:shd w:val="clear" w:color="auto" w:fill="FFFFFF"/>
            <w:noWrap w:val="0"/>
            <w:vAlign w:val="center"/>
          </w:tcPr>
          <w:p w14:paraId="1F677A7C">
            <w:pPr>
              <w:widowControl/>
              <w:spacing w:line="240" w:lineRule="auto"/>
              <w:jc w:val="center"/>
              <w:textAlignment w:val="center"/>
              <w:rPr>
                <w:rFonts w:hint="eastAsia" w:ascii="宋体" w:hAnsi="宋体" w:cs="宋体"/>
                <w:color w:val="auto"/>
                <w:kern w:val="0"/>
                <w:sz w:val="24"/>
                <w:highlight w:val="none"/>
                <w:lang w:eastAsia="zh-CN" w:bidi="ar"/>
              </w:rPr>
            </w:pPr>
          </w:p>
        </w:tc>
        <w:tc>
          <w:tcPr>
            <w:tcW w:w="1395" w:type="dxa"/>
            <w:shd w:val="clear" w:color="auto" w:fill="FFFFFF"/>
            <w:noWrap w:val="0"/>
            <w:vAlign w:val="center"/>
          </w:tcPr>
          <w:p w14:paraId="3C0F24D1">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GB 28050</w:t>
            </w:r>
          </w:p>
        </w:tc>
        <w:tc>
          <w:tcPr>
            <w:tcW w:w="2859" w:type="dxa"/>
            <w:shd w:val="clear" w:color="auto" w:fill="FFFFFF"/>
            <w:noWrap w:val="0"/>
            <w:vAlign w:val="center"/>
          </w:tcPr>
          <w:p w14:paraId="378FC2C8">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食品安全国家标准</w:t>
            </w:r>
          </w:p>
          <w:p w14:paraId="385D7473">
            <w:pPr>
              <w:widowControl/>
              <w:spacing w:line="240" w:lineRule="auto"/>
              <w:jc w:val="cente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eastAsia="zh-CN" w:bidi="ar"/>
              </w:rPr>
              <w:t>预包装食品营养标签通则</w:t>
            </w:r>
          </w:p>
        </w:tc>
        <w:tc>
          <w:tcPr>
            <w:tcW w:w="1942" w:type="dxa"/>
            <w:vMerge w:val="continue"/>
            <w:shd w:val="clear" w:color="auto" w:fill="FFFFFF"/>
            <w:noWrap w:val="0"/>
            <w:vAlign w:val="center"/>
          </w:tcPr>
          <w:p w14:paraId="2FDFFC4E">
            <w:pPr>
              <w:spacing w:line="240" w:lineRule="auto"/>
              <w:jc w:val="center"/>
              <w:rPr>
                <w:rFonts w:ascii="Times New Roman" w:hAnsi="Times New Roman" w:eastAsia="仿宋_GB2312"/>
                <w:color w:val="auto"/>
                <w:sz w:val="24"/>
                <w:highlight w:val="none"/>
              </w:rPr>
            </w:pPr>
          </w:p>
        </w:tc>
      </w:tr>
    </w:tbl>
    <w:p w14:paraId="00537AFE">
      <w:pPr>
        <w:spacing w:line="240" w:lineRule="auto"/>
        <w:ind w:firstLine="480" w:firstLineChars="200"/>
        <w:rPr>
          <w:rFonts w:ascii="Times New Roman" w:hAnsi="Times New Roman"/>
          <w:color w:val="auto"/>
          <w:highlight w:val="none"/>
        </w:rPr>
      </w:pPr>
      <w:r>
        <w:rPr>
          <w:rFonts w:hint="eastAsia" w:ascii="Times New Roman" w:hAnsi="Times New Roman" w:eastAsia="仿宋_GB2312"/>
          <w:color w:val="auto"/>
          <w:sz w:val="24"/>
          <w:highlight w:val="none"/>
        </w:rPr>
        <w:t>本表参照产品执行标准制作，仅供参考</w:t>
      </w:r>
      <w:r>
        <w:rPr>
          <w:rFonts w:hint="eastAsia" w:ascii="Times New Roman" w:hAnsi="Times New Roman" w:eastAsia="仿宋_GB2312"/>
          <w:color w:val="auto"/>
          <w:sz w:val="24"/>
          <w:highlight w:val="none"/>
          <w:lang w:eastAsia="zh-CN"/>
        </w:rPr>
        <w:t>，</w:t>
      </w:r>
      <w:r>
        <w:rPr>
          <w:rFonts w:hint="eastAsia" w:ascii="Times New Roman" w:hAnsi="Times New Roman" w:eastAsia="仿宋_GB2312"/>
          <w:color w:val="auto"/>
          <w:sz w:val="24"/>
          <w:highlight w:val="none"/>
          <w:lang w:val="en-US" w:eastAsia="zh-CN"/>
        </w:rPr>
        <w:t>以上部分项目按照食品安全国家标准要求看适用性</w:t>
      </w:r>
      <w:r>
        <w:rPr>
          <w:rFonts w:hint="eastAsia" w:ascii="Times New Roman" w:hAnsi="Times New Roman" w:eastAsia="仿宋_GB2312"/>
          <w:color w:val="auto"/>
          <w:sz w:val="24"/>
          <w:highlight w:val="none"/>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angSong_GB2312">
    <w:panose1 w:val="02010609030101010101"/>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0B664">
    <w:pPr>
      <w:pStyle w:val="12"/>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16D66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fill on="f" focussize="0,0"/>
              <v:stroke on="f"/>
              <v:imagedata o:title=""/>
              <o:lock v:ext="edit" aspectratio="f"/>
              <v:textbox inset="0mm,0mm,0mm,0mm" style="mso-fit-shape-to-text:t;">
                <w:txbxContent>
                  <w:p w14:paraId="7A16D66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34F9">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C989D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22C989D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B6EBC">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89E13"/>
    <w:multiLevelType w:val="singleLevel"/>
    <w:tmpl w:val="0C989E13"/>
    <w:lvl w:ilvl="0" w:tentative="0">
      <w:start w:val="1"/>
      <w:numFmt w:val="chineseCounting"/>
      <w:suff w:val="nothing"/>
      <w:lvlText w:val="（%1）"/>
      <w:lvlJc w:val="left"/>
      <w:rPr>
        <w:rFonts w:hint="eastAsia"/>
      </w:rPr>
    </w:lvl>
  </w:abstractNum>
  <w:abstractNum w:abstractNumId="1">
    <w:nsid w:val="586F4F9C"/>
    <w:multiLevelType w:val="multilevel"/>
    <w:tmpl w:val="586F4F9C"/>
    <w:lvl w:ilvl="0" w:tentative="0">
      <w:start w:val="1"/>
      <w:numFmt w:val="chineseCountingThousand"/>
      <w:suff w:val="nothing"/>
      <w:lvlText w:val="第%1条　"/>
      <w:lvlJc w:val="left"/>
      <w:pPr>
        <w:ind w:left="0" w:firstLine="680"/>
      </w:pPr>
      <w:rPr>
        <w:rFonts w:hint="eastAsia" w:ascii="宋体" w:hAnsi="宋体" w:eastAsia="黑体" w:cs="仿宋"/>
        <w:b w:val="0"/>
        <w:bCs/>
        <w:i w:val="0"/>
        <w:color w:val="000000"/>
        <w:sz w:val="32"/>
        <w:szCs w:val="32"/>
        <w:lang w:val="en-US"/>
      </w:rPr>
    </w:lvl>
    <w:lvl w:ilvl="1" w:tentative="0">
      <w:start w:val="1"/>
      <w:numFmt w:val="chineseCounting"/>
      <w:suff w:val="nothing"/>
      <w:lvlText w:val="第%2节　"/>
      <w:lvlJc w:val="left"/>
      <w:pPr>
        <w:ind w:left="-24" w:firstLine="402"/>
      </w:pPr>
      <w:rPr>
        <w:rFonts w:hint="eastAsia"/>
      </w:rPr>
    </w:lvl>
    <w:lvl w:ilvl="2" w:tentative="0">
      <w:start w:val="1"/>
      <w:numFmt w:val="chineseCounting"/>
      <w:suff w:val="nothing"/>
      <w:lvlText w:val="第%3条　"/>
      <w:lvlJc w:val="left"/>
      <w:pPr>
        <w:ind w:left="-24" w:firstLine="402"/>
      </w:pPr>
      <w:rPr>
        <w:rFonts w:hint="eastAsia"/>
      </w:rPr>
    </w:lvl>
    <w:lvl w:ilvl="3" w:tentative="0">
      <w:start w:val="1"/>
      <w:numFmt w:val="chineseCounting"/>
      <w:suff w:val="nothing"/>
      <w:lvlText w:val="（%4）"/>
      <w:lvlJc w:val="left"/>
      <w:pPr>
        <w:ind w:left="-24" w:firstLine="402"/>
      </w:pPr>
      <w:rPr>
        <w:rFonts w:hint="eastAsia"/>
      </w:rPr>
    </w:lvl>
    <w:lvl w:ilvl="4" w:tentative="0">
      <w:start w:val="1"/>
      <w:numFmt w:val="decimal"/>
      <w:suff w:val="nothing"/>
      <w:lvlText w:val="%5．"/>
      <w:lvlJc w:val="left"/>
      <w:pPr>
        <w:ind w:left="-24" w:firstLine="402"/>
      </w:pPr>
      <w:rPr>
        <w:rFonts w:hint="eastAsia"/>
      </w:rPr>
    </w:lvl>
    <w:lvl w:ilvl="5" w:tentative="0">
      <w:start w:val="1"/>
      <w:numFmt w:val="decimal"/>
      <w:suff w:val="nothing"/>
      <w:lvlText w:val="（%6）"/>
      <w:lvlJc w:val="left"/>
      <w:pPr>
        <w:ind w:left="-24" w:firstLine="402"/>
      </w:pPr>
      <w:rPr>
        <w:rFonts w:hint="eastAsia"/>
      </w:rPr>
    </w:lvl>
    <w:lvl w:ilvl="6" w:tentative="0">
      <w:start w:val="1"/>
      <w:numFmt w:val="decimalEnclosedCircleChinese"/>
      <w:suff w:val="nothing"/>
      <w:lvlText w:val="%7 "/>
      <w:lvlJc w:val="left"/>
      <w:pPr>
        <w:ind w:left="-24" w:firstLine="402"/>
      </w:pPr>
      <w:rPr>
        <w:rFonts w:hint="eastAsia"/>
      </w:rPr>
    </w:lvl>
    <w:lvl w:ilvl="7" w:tentative="0">
      <w:start w:val="1"/>
      <w:numFmt w:val="decimal"/>
      <w:suff w:val="nothing"/>
      <w:lvlText w:val="%8）"/>
      <w:lvlJc w:val="left"/>
      <w:pPr>
        <w:ind w:left="-24" w:firstLine="402"/>
      </w:pPr>
      <w:rPr>
        <w:rFonts w:hint="eastAsia"/>
      </w:rPr>
    </w:lvl>
    <w:lvl w:ilvl="8" w:tentative="0">
      <w:start w:val="1"/>
      <w:numFmt w:val="lowerLetter"/>
      <w:suff w:val="nothing"/>
      <w:lvlText w:val="%9．"/>
      <w:lvlJc w:val="left"/>
      <w:pPr>
        <w:ind w:left="-24" w:firstLine="402"/>
      </w:pPr>
      <w:rPr>
        <w:rFonts w:hint="eastAsia"/>
      </w:rPr>
    </w:lvl>
  </w:abstractNum>
  <w:abstractNum w:abstractNumId="2">
    <w:nsid w:val="5D642FA2"/>
    <w:multiLevelType w:val="singleLevel"/>
    <w:tmpl w:val="5D642FA2"/>
    <w:lvl w:ilvl="0" w:tentative="0">
      <w:start w:val="1"/>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4"/>
      <w:suff w:val="nothing"/>
      <w:lvlText w:val="%1%2　"/>
      <w:lvlJc w:val="left"/>
      <w:pPr>
        <w:ind w:left="0" w:firstLine="0"/>
      </w:pPr>
      <w:rPr>
        <w:rFonts w:hint="eastAsia" w:ascii="黑体" w:hAnsi="Times New Roman" w:eastAsia="黑体"/>
        <w:b w:val="0"/>
        <w:i w:val="0"/>
        <w:sz w:val="21"/>
      </w:rPr>
    </w:lvl>
    <w:lvl w:ilvl="2" w:tentative="0">
      <w:start w:val="1"/>
      <w:numFmt w:val="decimal"/>
      <w:pStyle w:val="35"/>
      <w:suff w:val="nothing"/>
      <w:lvlText w:val="%1%2.%3　"/>
      <w:lvlJc w:val="left"/>
      <w:pPr>
        <w:ind w:left="210" w:firstLine="0"/>
      </w:pPr>
      <w:rPr>
        <w:rFonts w:hint="eastAsia" w:ascii="黑体" w:hAnsi="Times New Roman" w:eastAsia="黑体"/>
        <w:b w:val="0"/>
        <w:i w:val="0"/>
        <w:sz w:val="21"/>
      </w:rPr>
    </w:lvl>
    <w:lvl w:ilvl="3" w:tentative="0">
      <w:start w:val="1"/>
      <w:numFmt w:val="decimal"/>
      <w:pStyle w:val="36"/>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C4B"/>
    <w:rsid w:val="00005DAF"/>
    <w:rsid w:val="00014C9A"/>
    <w:rsid w:val="00015696"/>
    <w:rsid w:val="00015A35"/>
    <w:rsid w:val="00022619"/>
    <w:rsid w:val="00024D28"/>
    <w:rsid w:val="00035B35"/>
    <w:rsid w:val="0003661F"/>
    <w:rsid w:val="00043C74"/>
    <w:rsid w:val="0005570F"/>
    <w:rsid w:val="0008072C"/>
    <w:rsid w:val="00087CC4"/>
    <w:rsid w:val="0009489B"/>
    <w:rsid w:val="000A2A61"/>
    <w:rsid w:val="000B30D5"/>
    <w:rsid w:val="000C5E18"/>
    <w:rsid w:val="000D613C"/>
    <w:rsid w:val="000D6C1D"/>
    <w:rsid w:val="000D7449"/>
    <w:rsid w:val="000E41B7"/>
    <w:rsid w:val="000E5383"/>
    <w:rsid w:val="000F500C"/>
    <w:rsid w:val="001442CC"/>
    <w:rsid w:val="00150925"/>
    <w:rsid w:val="00161F3D"/>
    <w:rsid w:val="00162DEE"/>
    <w:rsid w:val="0016556C"/>
    <w:rsid w:val="001660E6"/>
    <w:rsid w:val="00172A27"/>
    <w:rsid w:val="001A101E"/>
    <w:rsid w:val="001A4154"/>
    <w:rsid w:val="001C17A8"/>
    <w:rsid w:val="001C65EE"/>
    <w:rsid w:val="001C6943"/>
    <w:rsid w:val="001D6C92"/>
    <w:rsid w:val="001F2C68"/>
    <w:rsid w:val="00243195"/>
    <w:rsid w:val="00243E92"/>
    <w:rsid w:val="00256F0B"/>
    <w:rsid w:val="00267283"/>
    <w:rsid w:val="00281F9C"/>
    <w:rsid w:val="00286E27"/>
    <w:rsid w:val="00296387"/>
    <w:rsid w:val="002B757F"/>
    <w:rsid w:val="002D6736"/>
    <w:rsid w:val="002F6640"/>
    <w:rsid w:val="0030071E"/>
    <w:rsid w:val="003071EF"/>
    <w:rsid w:val="0032066D"/>
    <w:rsid w:val="00321F3E"/>
    <w:rsid w:val="00332805"/>
    <w:rsid w:val="00362149"/>
    <w:rsid w:val="00374D8D"/>
    <w:rsid w:val="0038033C"/>
    <w:rsid w:val="003924EF"/>
    <w:rsid w:val="003B2D1A"/>
    <w:rsid w:val="003E0892"/>
    <w:rsid w:val="003F2AC6"/>
    <w:rsid w:val="00421C32"/>
    <w:rsid w:val="00455D7D"/>
    <w:rsid w:val="00460348"/>
    <w:rsid w:val="00467ADA"/>
    <w:rsid w:val="004B44DD"/>
    <w:rsid w:val="004B508A"/>
    <w:rsid w:val="004C143E"/>
    <w:rsid w:val="004C26E9"/>
    <w:rsid w:val="004E3059"/>
    <w:rsid w:val="004E5DA9"/>
    <w:rsid w:val="004F6A10"/>
    <w:rsid w:val="00505CC9"/>
    <w:rsid w:val="00506835"/>
    <w:rsid w:val="00513B8B"/>
    <w:rsid w:val="00514DC1"/>
    <w:rsid w:val="005311E6"/>
    <w:rsid w:val="00564722"/>
    <w:rsid w:val="0057498F"/>
    <w:rsid w:val="00587942"/>
    <w:rsid w:val="00592448"/>
    <w:rsid w:val="005C10A2"/>
    <w:rsid w:val="005C2359"/>
    <w:rsid w:val="005C37D4"/>
    <w:rsid w:val="005E0775"/>
    <w:rsid w:val="005E4E53"/>
    <w:rsid w:val="005E5F0D"/>
    <w:rsid w:val="00606682"/>
    <w:rsid w:val="006066EC"/>
    <w:rsid w:val="00630CDE"/>
    <w:rsid w:val="0065381A"/>
    <w:rsid w:val="00672D17"/>
    <w:rsid w:val="006A46E7"/>
    <w:rsid w:val="006C59A4"/>
    <w:rsid w:val="006E0ABB"/>
    <w:rsid w:val="006E4A62"/>
    <w:rsid w:val="0070041C"/>
    <w:rsid w:val="00730579"/>
    <w:rsid w:val="00731406"/>
    <w:rsid w:val="00740FF7"/>
    <w:rsid w:val="00746D86"/>
    <w:rsid w:val="00747AF3"/>
    <w:rsid w:val="00752FAE"/>
    <w:rsid w:val="007606DE"/>
    <w:rsid w:val="00766A0B"/>
    <w:rsid w:val="007700A6"/>
    <w:rsid w:val="00787AB7"/>
    <w:rsid w:val="007A135E"/>
    <w:rsid w:val="007C767B"/>
    <w:rsid w:val="007D7127"/>
    <w:rsid w:val="007F3783"/>
    <w:rsid w:val="007F3D10"/>
    <w:rsid w:val="007F4BE8"/>
    <w:rsid w:val="007F54B1"/>
    <w:rsid w:val="0080356A"/>
    <w:rsid w:val="008239E0"/>
    <w:rsid w:val="00825FEF"/>
    <w:rsid w:val="0083050D"/>
    <w:rsid w:val="00831D9E"/>
    <w:rsid w:val="00833987"/>
    <w:rsid w:val="0084013C"/>
    <w:rsid w:val="00854DC2"/>
    <w:rsid w:val="0086455F"/>
    <w:rsid w:val="008A6C69"/>
    <w:rsid w:val="008D0BE3"/>
    <w:rsid w:val="008D3F92"/>
    <w:rsid w:val="008E2C3F"/>
    <w:rsid w:val="008F77A2"/>
    <w:rsid w:val="00936370"/>
    <w:rsid w:val="00937C75"/>
    <w:rsid w:val="009462FD"/>
    <w:rsid w:val="009469C9"/>
    <w:rsid w:val="00953B34"/>
    <w:rsid w:val="009837D2"/>
    <w:rsid w:val="0099243D"/>
    <w:rsid w:val="009B2615"/>
    <w:rsid w:val="009D7F4E"/>
    <w:rsid w:val="009E08D1"/>
    <w:rsid w:val="009F3088"/>
    <w:rsid w:val="00A039D1"/>
    <w:rsid w:val="00A05C37"/>
    <w:rsid w:val="00A12A1E"/>
    <w:rsid w:val="00A159C4"/>
    <w:rsid w:val="00A169D7"/>
    <w:rsid w:val="00A31230"/>
    <w:rsid w:val="00A44A35"/>
    <w:rsid w:val="00A53E65"/>
    <w:rsid w:val="00A57803"/>
    <w:rsid w:val="00A903CA"/>
    <w:rsid w:val="00AA2230"/>
    <w:rsid w:val="00AB2522"/>
    <w:rsid w:val="00AB33A5"/>
    <w:rsid w:val="00AB7172"/>
    <w:rsid w:val="00AC1403"/>
    <w:rsid w:val="00AD62C9"/>
    <w:rsid w:val="00B004BB"/>
    <w:rsid w:val="00B048FB"/>
    <w:rsid w:val="00B04D72"/>
    <w:rsid w:val="00B05D3C"/>
    <w:rsid w:val="00B24839"/>
    <w:rsid w:val="00B33469"/>
    <w:rsid w:val="00B44D8F"/>
    <w:rsid w:val="00B44E53"/>
    <w:rsid w:val="00B44EA1"/>
    <w:rsid w:val="00B939E4"/>
    <w:rsid w:val="00BD281B"/>
    <w:rsid w:val="00BE3A86"/>
    <w:rsid w:val="00BE487D"/>
    <w:rsid w:val="00BF3E46"/>
    <w:rsid w:val="00C06975"/>
    <w:rsid w:val="00C13B7D"/>
    <w:rsid w:val="00C57FF8"/>
    <w:rsid w:val="00C640C5"/>
    <w:rsid w:val="00C67E35"/>
    <w:rsid w:val="00C8344D"/>
    <w:rsid w:val="00C86AF5"/>
    <w:rsid w:val="00C924D6"/>
    <w:rsid w:val="00CB3046"/>
    <w:rsid w:val="00CB71C7"/>
    <w:rsid w:val="00CC1AA2"/>
    <w:rsid w:val="00CD5F18"/>
    <w:rsid w:val="00D22876"/>
    <w:rsid w:val="00D42E9B"/>
    <w:rsid w:val="00D6496F"/>
    <w:rsid w:val="00D7189E"/>
    <w:rsid w:val="00D73AC4"/>
    <w:rsid w:val="00D9482B"/>
    <w:rsid w:val="00DB30DD"/>
    <w:rsid w:val="00DB493E"/>
    <w:rsid w:val="00DD3C40"/>
    <w:rsid w:val="00DD7C74"/>
    <w:rsid w:val="00DE6024"/>
    <w:rsid w:val="00DE764D"/>
    <w:rsid w:val="00E05FB0"/>
    <w:rsid w:val="00E070A5"/>
    <w:rsid w:val="00E10A88"/>
    <w:rsid w:val="00E12331"/>
    <w:rsid w:val="00E13360"/>
    <w:rsid w:val="00E4384B"/>
    <w:rsid w:val="00E449D7"/>
    <w:rsid w:val="00E675FF"/>
    <w:rsid w:val="00E93341"/>
    <w:rsid w:val="00E941EC"/>
    <w:rsid w:val="00EA419A"/>
    <w:rsid w:val="00EC16EA"/>
    <w:rsid w:val="00EC29EF"/>
    <w:rsid w:val="00ED38FC"/>
    <w:rsid w:val="00ED72D9"/>
    <w:rsid w:val="00EF4299"/>
    <w:rsid w:val="00F0119B"/>
    <w:rsid w:val="00F331F8"/>
    <w:rsid w:val="00F44386"/>
    <w:rsid w:val="00F74EA4"/>
    <w:rsid w:val="00F90984"/>
    <w:rsid w:val="00F92291"/>
    <w:rsid w:val="00FB00D0"/>
    <w:rsid w:val="00FB3929"/>
    <w:rsid w:val="00FB5826"/>
    <w:rsid w:val="00FB6FA6"/>
    <w:rsid w:val="00FC3441"/>
    <w:rsid w:val="00FC4CCE"/>
    <w:rsid w:val="01200DBA"/>
    <w:rsid w:val="013921FA"/>
    <w:rsid w:val="014A4883"/>
    <w:rsid w:val="017165B7"/>
    <w:rsid w:val="01881482"/>
    <w:rsid w:val="019C11BA"/>
    <w:rsid w:val="01DF59B6"/>
    <w:rsid w:val="01E2589A"/>
    <w:rsid w:val="02141939"/>
    <w:rsid w:val="0288005D"/>
    <w:rsid w:val="028C4DF8"/>
    <w:rsid w:val="032633D2"/>
    <w:rsid w:val="03567348"/>
    <w:rsid w:val="035F60FC"/>
    <w:rsid w:val="036B36A3"/>
    <w:rsid w:val="03906A9D"/>
    <w:rsid w:val="03B32ECC"/>
    <w:rsid w:val="03FE3AC5"/>
    <w:rsid w:val="040401F4"/>
    <w:rsid w:val="042F4508"/>
    <w:rsid w:val="04365896"/>
    <w:rsid w:val="044A78D0"/>
    <w:rsid w:val="046849CD"/>
    <w:rsid w:val="04AA0119"/>
    <w:rsid w:val="04C3442B"/>
    <w:rsid w:val="04F37AF2"/>
    <w:rsid w:val="04F419D9"/>
    <w:rsid w:val="05323292"/>
    <w:rsid w:val="05BB6053"/>
    <w:rsid w:val="05BD626F"/>
    <w:rsid w:val="06291452"/>
    <w:rsid w:val="06B50CF4"/>
    <w:rsid w:val="06FE24BE"/>
    <w:rsid w:val="06FF5EC8"/>
    <w:rsid w:val="07032665"/>
    <w:rsid w:val="070B3BCF"/>
    <w:rsid w:val="0717375D"/>
    <w:rsid w:val="075A6BE8"/>
    <w:rsid w:val="076444C8"/>
    <w:rsid w:val="07740E9B"/>
    <w:rsid w:val="0781151E"/>
    <w:rsid w:val="078B7C3C"/>
    <w:rsid w:val="07A07BF6"/>
    <w:rsid w:val="07B14488"/>
    <w:rsid w:val="07BA195D"/>
    <w:rsid w:val="07F817E1"/>
    <w:rsid w:val="07FE2892"/>
    <w:rsid w:val="08257F62"/>
    <w:rsid w:val="084367D4"/>
    <w:rsid w:val="086E6C33"/>
    <w:rsid w:val="088E0665"/>
    <w:rsid w:val="08B1198F"/>
    <w:rsid w:val="08BB6BF6"/>
    <w:rsid w:val="08C90A87"/>
    <w:rsid w:val="08D506D5"/>
    <w:rsid w:val="091657F0"/>
    <w:rsid w:val="095445BB"/>
    <w:rsid w:val="09640AE6"/>
    <w:rsid w:val="0967151C"/>
    <w:rsid w:val="097C3963"/>
    <w:rsid w:val="098B3F8E"/>
    <w:rsid w:val="0A5E16A3"/>
    <w:rsid w:val="0A821A88"/>
    <w:rsid w:val="0ADD4673"/>
    <w:rsid w:val="0AEF2C97"/>
    <w:rsid w:val="0B2226D0"/>
    <w:rsid w:val="0B40611C"/>
    <w:rsid w:val="0B5F1B77"/>
    <w:rsid w:val="0B847C6B"/>
    <w:rsid w:val="0B860EB1"/>
    <w:rsid w:val="0B996E37"/>
    <w:rsid w:val="0B9C4CD6"/>
    <w:rsid w:val="0BB935F5"/>
    <w:rsid w:val="0BD01137"/>
    <w:rsid w:val="0BE234E7"/>
    <w:rsid w:val="0BF027CF"/>
    <w:rsid w:val="0C3923C8"/>
    <w:rsid w:val="0C3C3C66"/>
    <w:rsid w:val="0C433FAA"/>
    <w:rsid w:val="0C665E79"/>
    <w:rsid w:val="0C7260F0"/>
    <w:rsid w:val="0C814FDD"/>
    <w:rsid w:val="0CAE7E5A"/>
    <w:rsid w:val="0CBF091A"/>
    <w:rsid w:val="0D0D7645"/>
    <w:rsid w:val="0D1911B3"/>
    <w:rsid w:val="0D200115"/>
    <w:rsid w:val="0D2D0673"/>
    <w:rsid w:val="0D6F6E94"/>
    <w:rsid w:val="0D913CB0"/>
    <w:rsid w:val="0DC174A6"/>
    <w:rsid w:val="0DD33A78"/>
    <w:rsid w:val="0DDB3B9E"/>
    <w:rsid w:val="0DEA1BCB"/>
    <w:rsid w:val="0E044638"/>
    <w:rsid w:val="0E3C1CFB"/>
    <w:rsid w:val="0E8C4983"/>
    <w:rsid w:val="0E990EFC"/>
    <w:rsid w:val="0EC56195"/>
    <w:rsid w:val="0F295394"/>
    <w:rsid w:val="0F655282"/>
    <w:rsid w:val="0F6E4136"/>
    <w:rsid w:val="0F807A3F"/>
    <w:rsid w:val="0FA6713F"/>
    <w:rsid w:val="0FA83ACE"/>
    <w:rsid w:val="105A279E"/>
    <w:rsid w:val="108B0D18"/>
    <w:rsid w:val="10F1410F"/>
    <w:rsid w:val="10F51A99"/>
    <w:rsid w:val="111515C6"/>
    <w:rsid w:val="11617510"/>
    <w:rsid w:val="11785CDA"/>
    <w:rsid w:val="11C646FD"/>
    <w:rsid w:val="11CC15E8"/>
    <w:rsid w:val="11DC4C94"/>
    <w:rsid w:val="11EE3B2A"/>
    <w:rsid w:val="12212ED7"/>
    <w:rsid w:val="124F46F3"/>
    <w:rsid w:val="12631F4C"/>
    <w:rsid w:val="126F4C3C"/>
    <w:rsid w:val="12883761"/>
    <w:rsid w:val="12D43C61"/>
    <w:rsid w:val="12FB3F33"/>
    <w:rsid w:val="13267CD3"/>
    <w:rsid w:val="132711CC"/>
    <w:rsid w:val="13626917"/>
    <w:rsid w:val="139E0D62"/>
    <w:rsid w:val="13B616AB"/>
    <w:rsid w:val="13DD188A"/>
    <w:rsid w:val="13DF4571"/>
    <w:rsid w:val="13E175CD"/>
    <w:rsid w:val="14116B51"/>
    <w:rsid w:val="141D25CF"/>
    <w:rsid w:val="144731A8"/>
    <w:rsid w:val="14520861"/>
    <w:rsid w:val="149265AD"/>
    <w:rsid w:val="14A32AD4"/>
    <w:rsid w:val="14CE117E"/>
    <w:rsid w:val="14D229ED"/>
    <w:rsid w:val="15210B5F"/>
    <w:rsid w:val="15F741BA"/>
    <w:rsid w:val="16140835"/>
    <w:rsid w:val="16707AE9"/>
    <w:rsid w:val="16C61B8E"/>
    <w:rsid w:val="17627037"/>
    <w:rsid w:val="17CE4C35"/>
    <w:rsid w:val="17DC3137"/>
    <w:rsid w:val="17E56693"/>
    <w:rsid w:val="18486D05"/>
    <w:rsid w:val="185C1918"/>
    <w:rsid w:val="18616F2E"/>
    <w:rsid w:val="186A282D"/>
    <w:rsid w:val="189A5FB9"/>
    <w:rsid w:val="189A7259"/>
    <w:rsid w:val="189B64E7"/>
    <w:rsid w:val="189F0682"/>
    <w:rsid w:val="18F048C0"/>
    <w:rsid w:val="18F2402A"/>
    <w:rsid w:val="194A286A"/>
    <w:rsid w:val="196A3BC0"/>
    <w:rsid w:val="19883259"/>
    <w:rsid w:val="19EA0582"/>
    <w:rsid w:val="19F81C5B"/>
    <w:rsid w:val="1A0903BC"/>
    <w:rsid w:val="1A146C86"/>
    <w:rsid w:val="1A6F7042"/>
    <w:rsid w:val="1A750A6F"/>
    <w:rsid w:val="1AA11864"/>
    <w:rsid w:val="1AA570F2"/>
    <w:rsid w:val="1AAE5D2F"/>
    <w:rsid w:val="1AF074E9"/>
    <w:rsid w:val="1AFE1FFA"/>
    <w:rsid w:val="1B2147D9"/>
    <w:rsid w:val="1B285174"/>
    <w:rsid w:val="1B4E28AF"/>
    <w:rsid w:val="1B9F015F"/>
    <w:rsid w:val="1BA57132"/>
    <w:rsid w:val="1BD65220"/>
    <w:rsid w:val="1BDD2D6F"/>
    <w:rsid w:val="1BE0460E"/>
    <w:rsid w:val="1C1E04DE"/>
    <w:rsid w:val="1C307CB3"/>
    <w:rsid w:val="1C374311"/>
    <w:rsid w:val="1C5D7A0C"/>
    <w:rsid w:val="1C812E9E"/>
    <w:rsid w:val="1C904743"/>
    <w:rsid w:val="1C931680"/>
    <w:rsid w:val="1C960F52"/>
    <w:rsid w:val="1CA76033"/>
    <w:rsid w:val="1D4265C2"/>
    <w:rsid w:val="1D730E90"/>
    <w:rsid w:val="1D7D4A08"/>
    <w:rsid w:val="1D993A04"/>
    <w:rsid w:val="1DD51932"/>
    <w:rsid w:val="1E0D53B2"/>
    <w:rsid w:val="1E34479D"/>
    <w:rsid w:val="1E7E686D"/>
    <w:rsid w:val="1EEC528E"/>
    <w:rsid w:val="1EF33E40"/>
    <w:rsid w:val="1F085224"/>
    <w:rsid w:val="1F2A6EDD"/>
    <w:rsid w:val="1F4B74B7"/>
    <w:rsid w:val="1F515203"/>
    <w:rsid w:val="1F5B7712"/>
    <w:rsid w:val="1F813A12"/>
    <w:rsid w:val="1F8253A2"/>
    <w:rsid w:val="1FA46CB8"/>
    <w:rsid w:val="1FC84A43"/>
    <w:rsid w:val="1FE67C8E"/>
    <w:rsid w:val="20154A54"/>
    <w:rsid w:val="207B466C"/>
    <w:rsid w:val="20A63626"/>
    <w:rsid w:val="20C15F6F"/>
    <w:rsid w:val="21005D31"/>
    <w:rsid w:val="21360C38"/>
    <w:rsid w:val="21472A39"/>
    <w:rsid w:val="21610211"/>
    <w:rsid w:val="21990013"/>
    <w:rsid w:val="21992591"/>
    <w:rsid w:val="22BD1205"/>
    <w:rsid w:val="22C05CD6"/>
    <w:rsid w:val="22F25BFA"/>
    <w:rsid w:val="23281B63"/>
    <w:rsid w:val="23566F63"/>
    <w:rsid w:val="23925221"/>
    <w:rsid w:val="23B11B72"/>
    <w:rsid w:val="23C33E3F"/>
    <w:rsid w:val="23CF264C"/>
    <w:rsid w:val="24017D82"/>
    <w:rsid w:val="2419690F"/>
    <w:rsid w:val="2437439B"/>
    <w:rsid w:val="24695DA9"/>
    <w:rsid w:val="24780F72"/>
    <w:rsid w:val="247E6772"/>
    <w:rsid w:val="24B33816"/>
    <w:rsid w:val="24BB2697"/>
    <w:rsid w:val="24ED38F7"/>
    <w:rsid w:val="2500362B"/>
    <w:rsid w:val="25022335"/>
    <w:rsid w:val="251D77DA"/>
    <w:rsid w:val="2525750B"/>
    <w:rsid w:val="252A06A8"/>
    <w:rsid w:val="255B0DBB"/>
    <w:rsid w:val="25A42E9A"/>
    <w:rsid w:val="25CD1FA5"/>
    <w:rsid w:val="25E50FAA"/>
    <w:rsid w:val="25E95241"/>
    <w:rsid w:val="25ED4F34"/>
    <w:rsid w:val="25FE1555"/>
    <w:rsid w:val="260222BA"/>
    <w:rsid w:val="26600825"/>
    <w:rsid w:val="26781622"/>
    <w:rsid w:val="2684459B"/>
    <w:rsid w:val="27567F28"/>
    <w:rsid w:val="27924029"/>
    <w:rsid w:val="27A73339"/>
    <w:rsid w:val="27F21951"/>
    <w:rsid w:val="28100029"/>
    <w:rsid w:val="28200B45"/>
    <w:rsid w:val="2845679C"/>
    <w:rsid w:val="2864194B"/>
    <w:rsid w:val="2867354A"/>
    <w:rsid w:val="28FF7D52"/>
    <w:rsid w:val="291122AA"/>
    <w:rsid w:val="291B0A33"/>
    <w:rsid w:val="2A296DFC"/>
    <w:rsid w:val="2A44045E"/>
    <w:rsid w:val="2A4B5348"/>
    <w:rsid w:val="2A64073C"/>
    <w:rsid w:val="2AA64C74"/>
    <w:rsid w:val="2AAF1D7B"/>
    <w:rsid w:val="2AC45EA2"/>
    <w:rsid w:val="2B392EBC"/>
    <w:rsid w:val="2B66691B"/>
    <w:rsid w:val="2BB26F71"/>
    <w:rsid w:val="2BE94E19"/>
    <w:rsid w:val="2BF57C61"/>
    <w:rsid w:val="2C0803CD"/>
    <w:rsid w:val="2C1F6A8C"/>
    <w:rsid w:val="2C2422F5"/>
    <w:rsid w:val="2C3B0AF1"/>
    <w:rsid w:val="2C68607E"/>
    <w:rsid w:val="2C94763B"/>
    <w:rsid w:val="2CCC47CA"/>
    <w:rsid w:val="2CEC1D20"/>
    <w:rsid w:val="2CEE3391"/>
    <w:rsid w:val="2CEF2903"/>
    <w:rsid w:val="2D0B0BA8"/>
    <w:rsid w:val="2D1660E1"/>
    <w:rsid w:val="2D281971"/>
    <w:rsid w:val="2D4C132D"/>
    <w:rsid w:val="2DB33930"/>
    <w:rsid w:val="2DE15A02"/>
    <w:rsid w:val="2E530C6F"/>
    <w:rsid w:val="2E5F7BB7"/>
    <w:rsid w:val="2E800C83"/>
    <w:rsid w:val="2E9E076B"/>
    <w:rsid w:val="2EE31FF3"/>
    <w:rsid w:val="2F1A7393"/>
    <w:rsid w:val="2F396A6C"/>
    <w:rsid w:val="2F651E0A"/>
    <w:rsid w:val="2F7610B9"/>
    <w:rsid w:val="2FF65D56"/>
    <w:rsid w:val="300B5B05"/>
    <w:rsid w:val="300B7DA7"/>
    <w:rsid w:val="300D4E4E"/>
    <w:rsid w:val="304A2B14"/>
    <w:rsid w:val="304F0363"/>
    <w:rsid w:val="306C426A"/>
    <w:rsid w:val="30751371"/>
    <w:rsid w:val="307E5B95"/>
    <w:rsid w:val="30D90BC1"/>
    <w:rsid w:val="30DC68E1"/>
    <w:rsid w:val="30E30E41"/>
    <w:rsid w:val="3103745C"/>
    <w:rsid w:val="31232BE4"/>
    <w:rsid w:val="317653A0"/>
    <w:rsid w:val="31917CE0"/>
    <w:rsid w:val="319535A4"/>
    <w:rsid w:val="31CD60E8"/>
    <w:rsid w:val="31FE481A"/>
    <w:rsid w:val="321D1CD8"/>
    <w:rsid w:val="3232595A"/>
    <w:rsid w:val="329C4A82"/>
    <w:rsid w:val="32C97752"/>
    <w:rsid w:val="32D8012A"/>
    <w:rsid w:val="32DD144F"/>
    <w:rsid w:val="32E877DB"/>
    <w:rsid w:val="33581B1C"/>
    <w:rsid w:val="33596D28"/>
    <w:rsid w:val="33A675DF"/>
    <w:rsid w:val="33C3470B"/>
    <w:rsid w:val="33E4359F"/>
    <w:rsid w:val="33EB36F8"/>
    <w:rsid w:val="34032B13"/>
    <w:rsid w:val="340A6274"/>
    <w:rsid w:val="34260BB2"/>
    <w:rsid w:val="3437693D"/>
    <w:rsid w:val="34885024"/>
    <w:rsid w:val="348A0369"/>
    <w:rsid w:val="34A22009"/>
    <w:rsid w:val="34B6510D"/>
    <w:rsid w:val="34EF0153"/>
    <w:rsid w:val="35020CF9"/>
    <w:rsid w:val="35040F15"/>
    <w:rsid w:val="355569A2"/>
    <w:rsid w:val="355D6FDE"/>
    <w:rsid w:val="356D0868"/>
    <w:rsid w:val="35B13B93"/>
    <w:rsid w:val="35C336A7"/>
    <w:rsid w:val="35CF6AB1"/>
    <w:rsid w:val="35EF55BF"/>
    <w:rsid w:val="35FF6EC8"/>
    <w:rsid w:val="36897D3A"/>
    <w:rsid w:val="36D65004"/>
    <w:rsid w:val="36DD0212"/>
    <w:rsid w:val="36E06005"/>
    <w:rsid w:val="36EF52AD"/>
    <w:rsid w:val="371718B6"/>
    <w:rsid w:val="3721531B"/>
    <w:rsid w:val="37985945"/>
    <w:rsid w:val="37A67F71"/>
    <w:rsid w:val="380B4369"/>
    <w:rsid w:val="38485ACB"/>
    <w:rsid w:val="38D0105E"/>
    <w:rsid w:val="38DA1E71"/>
    <w:rsid w:val="38DB66F7"/>
    <w:rsid w:val="38E1021F"/>
    <w:rsid w:val="392751D2"/>
    <w:rsid w:val="3973530D"/>
    <w:rsid w:val="397E47CE"/>
    <w:rsid w:val="398161F0"/>
    <w:rsid w:val="398B39B3"/>
    <w:rsid w:val="398F019A"/>
    <w:rsid w:val="39BA42A1"/>
    <w:rsid w:val="3A0D6605"/>
    <w:rsid w:val="3A257964"/>
    <w:rsid w:val="3A41001D"/>
    <w:rsid w:val="3A9E641C"/>
    <w:rsid w:val="3AA27206"/>
    <w:rsid w:val="3ABC194A"/>
    <w:rsid w:val="3ACE0955"/>
    <w:rsid w:val="3AD969A0"/>
    <w:rsid w:val="3AE02F2B"/>
    <w:rsid w:val="3AF85078"/>
    <w:rsid w:val="3BBE163A"/>
    <w:rsid w:val="3C044441"/>
    <w:rsid w:val="3C3B5F24"/>
    <w:rsid w:val="3C670EE9"/>
    <w:rsid w:val="3D3B749E"/>
    <w:rsid w:val="3D4A76E1"/>
    <w:rsid w:val="3D5452CD"/>
    <w:rsid w:val="3D5571AC"/>
    <w:rsid w:val="3D603D89"/>
    <w:rsid w:val="3D6407A3"/>
    <w:rsid w:val="3D666AC7"/>
    <w:rsid w:val="3D8600B0"/>
    <w:rsid w:val="3D8B050B"/>
    <w:rsid w:val="3DDA2813"/>
    <w:rsid w:val="3E263CAA"/>
    <w:rsid w:val="3E3936D4"/>
    <w:rsid w:val="3E3A59A8"/>
    <w:rsid w:val="3E532C5B"/>
    <w:rsid w:val="3E534F93"/>
    <w:rsid w:val="3E936B81"/>
    <w:rsid w:val="3EA81BC0"/>
    <w:rsid w:val="3EBA1612"/>
    <w:rsid w:val="3EC72426"/>
    <w:rsid w:val="3EE76E24"/>
    <w:rsid w:val="3F0F6206"/>
    <w:rsid w:val="3F2B492C"/>
    <w:rsid w:val="3F40010C"/>
    <w:rsid w:val="3F5A05A7"/>
    <w:rsid w:val="3F92078F"/>
    <w:rsid w:val="3FBF43B6"/>
    <w:rsid w:val="3FE0485A"/>
    <w:rsid w:val="3FEC0F24"/>
    <w:rsid w:val="402A22BB"/>
    <w:rsid w:val="402C509E"/>
    <w:rsid w:val="406F109D"/>
    <w:rsid w:val="408968E7"/>
    <w:rsid w:val="408F0117"/>
    <w:rsid w:val="409A0980"/>
    <w:rsid w:val="40EA7F11"/>
    <w:rsid w:val="417844AB"/>
    <w:rsid w:val="41CB06C3"/>
    <w:rsid w:val="41D82AA8"/>
    <w:rsid w:val="41EE4E16"/>
    <w:rsid w:val="41FA6155"/>
    <w:rsid w:val="4264648C"/>
    <w:rsid w:val="4265122A"/>
    <w:rsid w:val="42955160"/>
    <w:rsid w:val="42C46FFC"/>
    <w:rsid w:val="42F22481"/>
    <w:rsid w:val="431A268D"/>
    <w:rsid w:val="436F31CD"/>
    <w:rsid w:val="437049B3"/>
    <w:rsid w:val="439F143C"/>
    <w:rsid w:val="43A32D03"/>
    <w:rsid w:val="43C95502"/>
    <w:rsid w:val="43EB7A00"/>
    <w:rsid w:val="44000146"/>
    <w:rsid w:val="44046AD3"/>
    <w:rsid w:val="441A7E0D"/>
    <w:rsid w:val="44307631"/>
    <w:rsid w:val="449B5470"/>
    <w:rsid w:val="44D87F7C"/>
    <w:rsid w:val="44DA7903"/>
    <w:rsid w:val="44DC52E9"/>
    <w:rsid w:val="44FE1BAF"/>
    <w:rsid w:val="44FF7003"/>
    <w:rsid w:val="45107462"/>
    <w:rsid w:val="452D4692"/>
    <w:rsid w:val="457713CA"/>
    <w:rsid w:val="4583582B"/>
    <w:rsid w:val="45F823D0"/>
    <w:rsid w:val="463E10BD"/>
    <w:rsid w:val="465F262A"/>
    <w:rsid w:val="46713F31"/>
    <w:rsid w:val="46916E62"/>
    <w:rsid w:val="46A82489"/>
    <w:rsid w:val="46B57B23"/>
    <w:rsid w:val="46C91677"/>
    <w:rsid w:val="46D07804"/>
    <w:rsid w:val="471E5E67"/>
    <w:rsid w:val="475F0176"/>
    <w:rsid w:val="476237F2"/>
    <w:rsid w:val="47A345BE"/>
    <w:rsid w:val="47DF34E6"/>
    <w:rsid w:val="47FB59CF"/>
    <w:rsid w:val="48474F49"/>
    <w:rsid w:val="48916568"/>
    <w:rsid w:val="48BC66CB"/>
    <w:rsid w:val="48D724BB"/>
    <w:rsid w:val="4905055E"/>
    <w:rsid w:val="49107A31"/>
    <w:rsid w:val="49125C26"/>
    <w:rsid w:val="493D634C"/>
    <w:rsid w:val="495A0CAC"/>
    <w:rsid w:val="49E34AE6"/>
    <w:rsid w:val="49F2351B"/>
    <w:rsid w:val="4A394D65"/>
    <w:rsid w:val="4A7F34DA"/>
    <w:rsid w:val="4A7F4E6E"/>
    <w:rsid w:val="4A8308E9"/>
    <w:rsid w:val="4ACC5514"/>
    <w:rsid w:val="4AE051E1"/>
    <w:rsid w:val="4B520026"/>
    <w:rsid w:val="4B771FE9"/>
    <w:rsid w:val="4BA4312E"/>
    <w:rsid w:val="4BA57D98"/>
    <w:rsid w:val="4BB64FEB"/>
    <w:rsid w:val="4BEB5C3E"/>
    <w:rsid w:val="4C314D4B"/>
    <w:rsid w:val="4C481290"/>
    <w:rsid w:val="4C6B5CFA"/>
    <w:rsid w:val="4CB624D8"/>
    <w:rsid w:val="4CD2534C"/>
    <w:rsid w:val="4CDC7E0A"/>
    <w:rsid w:val="4D1403CF"/>
    <w:rsid w:val="4D260248"/>
    <w:rsid w:val="4D2770F7"/>
    <w:rsid w:val="4D2C6E03"/>
    <w:rsid w:val="4D7F7AAA"/>
    <w:rsid w:val="4D873CBF"/>
    <w:rsid w:val="4D8A1887"/>
    <w:rsid w:val="4D9A3D6D"/>
    <w:rsid w:val="4E3C0A72"/>
    <w:rsid w:val="4E451F2B"/>
    <w:rsid w:val="4E4F3E7C"/>
    <w:rsid w:val="4E6A324D"/>
    <w:rsid w:val="4E9E1915"/>
    <w:rsid w:val="4ED1580C"/>
    <w:rsid w:val="4F035942"/>
    <w:rsid w:val="4F0F7CEC"/>
    <w:rsid w:val="4F2558B8"/>
    <w:rsid w:val="4F2D20B7"/>
    <w:rsid w:val="4F344632"/>
    <w:rsid w:val="4F6A435F"/>
    <w:rsid w:val="4F716D4F"/>
    <w:rsid w:val="4F7800DE"/>
    <w:rsid w:val="4F8624F0"/>
    <w:rsid w:val="4FCA0B29"/>
    <w:rsid w:val="500476B9"/>
    <w:rsid w:val="501019C6"/>
    <w:rsid w:val="5073791A"/>
    <w:rsid w:val="507B4924"/>
    <w:rsid w:val="50AD13B5"/>
    <w:rsid w:val="50ED067F"/>
    <w:rsid w:val="50F86880"/>
    <w:rsid w:val="50FA1B19"/>
    <w:rsid w:val="51303371"/>
    <w:rsid w:val="5132731D"/>
    <w:rsid w:val="51334C01"/>
    <w:rsid w:val="514255B7"/>
    <w:rsid w:val="514364CA"/>
    <w:rsid w:val="51463168"/>
    <w:rsid w:val="5147242B"/>
    <w:rsid w:val="51490415"/>
    <w:rsid w:val="5196484B"/>
    <w:rsid w:val="51F87992"/>
    <w:rsid w:val="52151C14"/>
    <w:rsid w:val="526B114D"/>
    <w:rsid w:val="52842CCE"/>
    <w:rsid w:val="529F6591"/>
    <w:rsid w:val="52C715AE"/>
    <w:rsid w:val="52D36BB8"/>
    <w:rsid w:val="5302663C"/>
    <w:rsid w:val="53341FF2"/>
    <w:rsid w:val="53582700"/>
    <w:rsid w:val="535B5C5F"/>
    <w:rsid w:val="53615A4C"/>
    <w:rsid w:val="53660CAA"/>
    <w:rsid w:val="538254E1"/>
    <w:rsid w:val="538332E7"/>
    <w:rsid w:val="53A534F8"/>
    <w:rsid w:val="53BF51D1"/>
    <w:rsid w:val="53C939E4"/>
    <w:rsid w:val="53D92F90"/>
    <w:rsid w:val="54161C73"/>
    <w:rsid w:val="54211180"/>
    <w:rsid w:val="54297BF9"/>
    <w:rsid w:val="544541A4"/>
    <w:rsid w:val="54527ED2"/>
    <w:rsid w:val="5488491F"/>
    <w:rsid w:val="54A76CAF"/>
    <w:rsid w:val="54CA4F41"/>
    <w:rsid w:val="54E46C69"/>
    <w:rsid w:val="54EC30B7"/>
    <w:rsid w:val="54F41D4D"/>
    <w:rsid w:val="553D6A94"/>
    <w:rsid w:val="555E6AB8"/>
    <w:rsid w:val="55674E7D"/>
    <w:rsid w:val="558B4233"/>
    <w:rsid w:val="55DD6EED"/>
    <w:rsid w:val="560C2349"/>
    <w:rsid w:val="564156CE"/>
    <w:rsid w:val="5648247B"/>
    <w:rsid w:val="564C57EA"/>
    <w:rsid w:val="569075FA"/>
    <w:rsid w:val="569A3030"/>
    <w:rsid w:val="56E10C5F"/>
    <w:rsid w:val="56EF512A"/>
    <w:rsid w:val="571F68D9"/>
    <w:rsid w:val="57494238"/>
    <w:rsid w:val="576C74F8"/>
    <w:rsid w:val="576F72A1"/>
    <w:rsid w:val="578B3EAF"/>
    <w:rsid w:val="57A223C4"/>
    <w:rsid w:val="57AA2DFF"/>
    <w:rsid w:val="57AB101A"/>
    <w:rsid w:val="58242BB1"/>
    <w:rsid w:val="583D1D79"/>
    <w:rsid w:val="585076B5"/>
    <w:rsid w:val="58554277"/>
    <w:rsid w:val="58840FF1"/>
    <w:rsid w:val="58B0786A"/>
    <w:rsid w:val="58E063E2"/>
    <w:rsid w:val="59036C6A"/>
    <w:rsid w:val="592F7A5F"/>
    <w:rsid w:val="59313E28"/>
    <w:rsid w:val="594C5CCE"/>
    <w:rsid w:val="595365E4"/>
    <w:rsid w:val="59585539"/>
    <w:rsid w:val="5966544B"/>
    <w:rsid w:val="597C5994"/>
    <w:rsid w:val="598C7A7B"/>
    <w:rsid w:val="5998234D"/>
    <w:rsid w:val="5A14773B"/>
    <w:rsid w:val="5A1D5573"/>
    <w:rsid w:val="5A517EA9"/>
    <w:rsid w:val="5A6909F1"/>
    <w:rsid w:val="5A9749D0"/>
    <w:rsid w:val="5A9B3CFE"/>
    <w:rsid w:val="5AA729E2"/>
    <w:rsid w:val="5AB27867"/>
    <w:rsid w:val="5AE56594"/>
    <w:rsid w:val="5B2101BF"/>
    <w:rsid w:val="5B273F12"/>
    <w:rsid w:val="5B464417"/>
    <w:rsid w:val="5B511F2A"/>
    <w:rsid w:val="5B8027F4"/>
    <w:rsid w:val="5B955B74"/>
    <w:rsid w:val="5BA032B4"/>
    <w:rsid w:val="5BFC0AA9"/>
    <w:rsid w:val="5C055CD8"/>
    <w:rsid w:val="5C364DCF"/>
    <w:rsid w:val="5C6946D9"/>
    <w:rsid w:val="5C7A5495"/>
    <w:rsid w:val="5CD373F7"/>
    <w:rsid w:val="5CEC2723"/>
    <w:rsid w:val="5D257513"/>
    <w:rsid w:val="5D4D67F9"/>
    <w:rsid w:val="5D713C38"/>
    <w:rsid w:val="5DC00787"/>
    <w:rsid w:val="5DDB2DC9"/>
    <w:rsid w:val="5E2002BE"/>
    <w:rsid w:val="5E2B6755"/>
    <w:rsid w:val="5E337FF2"/>
    <w:rsid w:val="5E4874FA"/>
    <w:rsid w:val="5E5A5F71"/>
    <w:rsid w:val="5E5D506F"/>
    <w:rsid w:val="5E7E49C4"/>
    <w:rsid w:val="5E9860A7"/>
    <w:rsid w:val="5EB26A4A"/>
    <w:rsid w:val="5EC155FD"/>
    <w:rsid w:val="5F014F67"/>
    <w:rsid w:val="5F16521D"/>
    <w:rsid w:val="5F776EA6"/>
    <w:rsid w:val="5FA55E0F"/>
    <w:rsid w:val="5FE2139E"/>
    <w:rsid w:val="5FE3269A"/>
    <w:rsid w:val="6007154D"/>
    <w:rsid w:val="60234096"/>
    <w:rsid w:val="60392BE3"/>
    <w:rsid w:val="603D2C4A"/>
    <w:rsid w:val="6075770C"/>
    <w:rsid w:val="608C5797"/>
    <w:rsid w:val="609A12CC"/>
    <w:rsid w:val="60AB27A8"/>
    <w:rsid w:val="60C00F3A"/>
    <w:rsid w:val="60CF38D6"/>
    <w:rsid w:val="60EA0411"/>
    <w:rsid w:val="60EE4DA9"/>
    <w:rsid w:val="60F05933"/>
    <w:rsid w:val="60FF240D"/>
    <w:rsid w:val="61072736"/>
    <w:rsid w:val="614866DE"/>
    <w:rsid w:val="6156581A"/>
    <w:rsid w:val="61B2122D"/>
    <w:rsid w:val="61C6616B"/>
    <w:rsid w:val="620674AF"/>
    <w:rsid w:val="6219379C"/>
    <w:rsid w:val="621B6CF5"/>
    <w:rsid w:val="62576798"/>
    <w:rsid w:val="627E7362"/>
    <w:rsid w:val="62825A0B"/>
    <w:rsid w:val="6315416A"/>
    <w:rsid w:val="634B00E6"/>
    <w:rsid w:val="63A16564"/>
    <w:rsid w:val="63BC4D54"/>
    <w:rsid w:val="63C61FB2"/>
    <w:rsid w:val="63C94F54"/>
    <w:rsid w:val="63C96D02"/>
    <w:rsid w:val="63D47B81"/>
    <w:rsid w:val="63ED41F5"/>
    <w:rsid w:val="63F26259"/>
    <w:rsid w:val="641C6E32"/>
    <w:rsid w:val="64527D34"/>
    <w:rsid w:val="6478476F"/>
    <w:rsid w:val="64930890"/>
    <w:rsid w:val="64986E00"/>
    <w:rsid w:val="64B2734B"/>
    <w:rsid w:val="64F21C07"/>
    <w:rsid w:val="65362175"/>
    <w:rsid w:val="656E7665"/>
    <w:rsid w:val="65AE7F5E"/>
    <w:rsid w:val="65C82D5F"/>
    <w:rsid w:val="662767C8"/>
    <w:rsid w:val="663A38BB"/>
    <w:rsid w:val="667764AE"/>
    <w:rsid w:val="6686712D"/>
    <w:rsid w:val="66884822"/>
    <w:rsid w:val="669435F8"/>
    <w:rsid w:val="66A8173D"/>
    <w:rsid w:val="66BB0B84"/>
    <w:rsid w:val="66E77BCB"/>
    <w:rsid w:val="67001B1B"/>
    <w:rsid w:val="67171852"/>
    <w:rsid w:val="67497469"/>
    <w:rsid w:val="67514772"/>
    <w:rsid w:val="678A58C5"/>
    <w:rsid w:val="67EA0C63"/>
    <w:rsid w:val="68426C0D"/>
    <w:rsid w:val="687522A6"/>
    <w:rsid w:val="68CE1ACB"/>
    <w:rsid w:val="68F370B7"/>
    <w:rsid w:val="68FF407B"/>
    <w:rsid w:val="693B7D5A"/>
    <w:rsid w:val="693C5F4A"/>
    <w:rsid w:val="6953779A"/>
    <w:rsid w:val="69BC6D44"/>
    <w:rsid w:val="69F40840"/>
    <w:rsid w:val="69FF7DE9"/>
    <w:rsid w:val="6A430A54"/>
    <w:rsid w:val="6AF40B09"/>
    <w:rsid w:val="6AFA5B13"/>
    <w:rsid w:val="6AFB163E"/>
    <w:rsid w:val="6AFC39DE"/>
    <w:rsid w:val="6B144D07"/>
    <w:rsid w:val="6B264875"/>
    <w:rsid w:val="6B530E0D"/>
    <w:rsid w:val="6B597E5F"/>
    <w:rsid w:val="6B6A0B36"/>
    <w:rsid w:val="6B6D05BE"/>
    <w:rsid w:val="6B7B4D86"/>
    <w:rsid w:val="6B971BF6"/>
    <w:rsid w:val="6BD9385B"/>
    <w:rsid w:val="6C0902D2"/>
    <w:rsid w:val="6C5E0930"/>
    <w:rsid w:val="6CCB5AF0"/>
    <w:rsid w:val="6CFD2351"/>
    <w:rsid w:val="6D05118B"/>
    <w:rsid w:val="6D365312"/>
    <w:rsid w:val="6D450D78"/>
    <w:rsid w:val="6D5533B5"/>
    <w:rsid w:val="6D7D2EA7"/>
    <w:rsid w:val="6D884753"/>
    <w:rsid w:val="6D9C1BB3"/>
    <w:rsid w:val="6DD62D38"/>
    <w:rsid w:val="6DE92174"/>
    <w:rsid w:val="6E704334"/>
    <w:rsid w:val="6E7D7067"/>
    <w:rsid w:val="6EAC56ED"/>
    <w:rsid w:val="6F283A6C"/>
    <w:rsid w:val="6F503152"/>
    <w:rsid w:val="6F6D46F6"/>
    <w:rsid w:val="6F71767D"/>
    <w:rsid w:val="6F800BBD"/>
    <w:rsid w:val="6FCA1E38"/>
    <w:rsid w:val="70587444"/>
    <w:rsid w:val="705909E0"/>
    <w:rsid w:val="705B066B"/>
    <w:rsid w:val="70A72179"/>
    <w:rsid w:val="70AD7E25"/>
    <w:rsid w:val="70B4600C"/>
    <w:rsid w:val="70D70ED4"/>
    <w:rsid w:val="70E653CA"/>
    <w:rsid w:val="70FE02E3"/>
    <w:rsid w:val="71090A5F"/>
    <w:rsid w:val="71312090"/>
    <w:rsid w:val="71824CB2"/>
    <w:rsid w:val="71895D4D"/>
    <w:rsid w:val="718A0531"/>
    <w:rsid w:val="719A5324"/>
    <w:rsid w:val="71BB412E"/>
    <w:rsid w:val="71BC064B"/>
    <w:rsid w:val="71C50B09"/>
    <w:rsid w:val="720930EC"/>
    <w:rsid w:val="723003A9"/>
    <w:rsid w:val="72451C4A"/>
    <w:rsid w:val="724B7271"/>
    <w:rsid w:val="724C1978"/>
    <w:rsid w:val="7277347F"/>
    <w:rsid w:val="727974B5"/>
    <w:rsid w:val="727D3192"/>
    <w:rsid w:val="727F2993"/>
    <w:rsid w:val="729624A5"/>
    <w:rsid w:val="72A61764"/>
    <w:rsid w:val="72BB3CBA"/>
    <w:rsid w:val="73447B63"/>
    <w:rsid w:val="73873090"/>
    <w:rsid w:val="73922904"/>
    <w:rsid w:val="73CC4DB4"/>
    <w:rsid w:val="73EC0F40"/>
    <w:rsid w:val="73F15BC3"/>
    <w:rsid w:val="74041679"/>
    <w:rsid w:val="740614E3"/>
    <w:rsid w:val="744818FD"/>
    <w:rsid w:val="74980757"/>
    <w:rsid w:val="74C10B57"/>
    <w:rsid w:val="750D5402"/>
    <w:rsid w:val="752F5A0C"/>
    <w:rsid w:val="7568278C"/>
    <w:rsid w:val="756A3232"/>
    <w:rsid w:val="75703482"/>
    <w:rsid w:val="75834E12"/>
    <w:rsid w:val="75B570E6"/>
    <w:rsid w:val="75DA08FB"/>
    <w:rsid w:val="75DA6B4D"/>
    <w:rsid w:val="763B7625"/>
    <w:rsid w:val="76751D49"/>
    <w:rsid w:val="76DB2892"/>
    <w:rsid w:val="76DF35D8"/>
    <w:rsid w:val="77530965"/>
    <w:rsid w:val="775D2E40"/>
    <w:rsid w:val="77701517"/>
    <w:rsid w:val="778B45A3"/>
    <w:rsid w:val="77CD41A5"/>
    <w:rsid w:val="78760D1C"/>
    <w:rsid w:val="78874D6A"/>
    <w:rsid w:val="789A1A3E"/>
    <w:rsid w:val="78AF606F"/>
    <w:rsid w:val="78DE6954"/>
    <w:rsid w:val="79077B8C"/>
    <w:rsid w:val="790E6CF4"/>
    <w:rsid w:val="796E2C90"/>
    <w:rsid w:val="79892F07"/>
    <w:rsid w:val="79BA2F1D"/>
    <w:rsid w:val="79BD1D61"/>
    <w:rsid w:val="79D72425"/>
    <w:rsid w:val="79F754EC"/>
    <w:rsid w:val="7A0B3779"/>
    <w:rsid w:val="7A7A4BD5"/>
    <w:rsid w:val="7A9F5DAF"/>
    <w:rsid w:val="7AB21E46"/>
    <w:rsid w:val="7ABA2A1C"/>
    <w:rsid w:val="7ACC7D2E"/>
    <w:rsid w:val="7B007056"/>
    <w:rsid w:val="7B065569"/>
    <w:rsid w:val="7BAE6A5F"/>
    <w:rsid w:val="7BE22FA0"/>
    <w:rsid w:val="7C0C55A6"/>
    <w:rsid w:val="7C4A5D78"/>
    <w:rsid w:val="7C913167"/>
    <w:rsid w:val="7CC26722"/>
    <w:rsid w:val="7CD97B5E"/>
    <w:rsid w:val="7CE07DEB"/>
    <w:rsid w:val="7D0F2107"/>
    <w:rsid w:val="7D3E7984"/>
    <w:rsid w:val="7D8601A2"/>
    <w:rsid w:val="7DA0237C"/>
    <w:rsid w:val="7DC3103E"/>
    <w:rsid w:val="7DEA5B0B"/>
    <w:rsid w:val="7E201143"/>
    <w:rsid w:val="7E307B0A"/>
    <w:rsid w:val="7E350DC4"/>
    <w:rsid w:val="7E3B10BE"/>
    <w:rsid w:val="7E402089"/>
    <w:rsid w:val="7EA97B0C"/>
    <w:rsid w:val="7EB62B3E"/>
    <w:rsid w:val="7EBE5548"/>
    <w:rsid w:val="7ECE6ACF"/>
    <w:rsid w:val="7ED33C82"/>
    <w:rsid w:val="7F1C1B31"/>
    <w:rsid w:val="7F3F428B"/>
    <w:rsid w:val="7F4A67EE"/>
    <w:rsid w:val="7FC56912"/>
    <w:rsid w:val="7FE02BE0"/>
    <w:rsid w:val="7FE52CE1"/>
    <w:rsid w:val="F9FF73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jc w:val="center"/>
      <w:outlineLvl w:val="0"/>
    </w:pPr>
    <w:rPr>
      <w:rFonts w:eastAsia="方正小标宋简体"/>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widowControl/>
      <w:spacing w:beforeAutospacing="1" w:afterAutospacing="1"/>
      <w:jc w:val="left"/>
      <w:outlineLvl w:val="2"/>
    </w:pPr>
    <w:rPr>
      <w:rFonts w:ascii="宋体" w:hAnsi="宋体" w:eastAsia="楷体" w:cs="宋体"/>
      <w:b/>
      <w:bCs/>
      <w:kern w:val="0"/>
      <w:sz w:val="32"/>
      <w:szCs w:val="27"/>
    </w:rPr>
  </w:style>
  <w:style w:type="paragraph" w:styleId="7">
    <w:name w:val="heading 4"/>
    <w:basedOn w:val="1"/>
    <w:next w:val="1"/>
    <w:qFormat/>
    <w:uiPriority w:val="0"/>
    <w:pPr>
      <w:keepNext/>
      <w:keepLines/>
      <w:spacing w:line="376" w:lineRule="auto"/>
      <w:outlineLvl w:val="3"/>
    </w:pPr>
    <w:rPr>
      <w:rFonts w:ascii="Cambria" w:hAnsi="Cambria" w:eastAsia="楷体"/>
      <w:b/>
      <w:bCs/>
      <w:sz w:val="30"/>
      <w:szCs w:val="28"/>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Body Text 3"/>
    <w:basedOn w:val="1"/>
    <w:next w:val="3"/>
    <w:qFormat/>
    <w:uiPriority w:val="99"/>
    <w:pPr>
      <w:spacing w:after="120"/>
    </w:pPr>
    <w:rPr>
      <w:rFonts w:ascii="Times New Roman" w:hAnsi="Times New Roman" w:eastAsia="仿宋_GB2312"/>
      <w:kern w:val="0"/>
      <w:sz w:val="16"/>
      <w:szCs w:val="16"/>
    </w:rPr>
  </w:style>
  <w:style w:type="paragraph" w:customStyle="1" w:styleId="3">
    <w:name w:val="Char1"/>
    <w:basedOn w:val="1"/>
    <w:qFormat/>
    <w:uiPriority w:val="99"/>
    <w:pPr>
      <w:tabs>
        <w:tab w:val="left" w:pos="840"/>
      </w:tabs>
      <w:ind w:left="840" w:hanging="420"/>
    </w:pPr>
    <w:rPr>
      <w:rFonts w:ascii="Times New Roman" w:hAnsi="Times New Roman" w:eastAsia="仿宋_GB2312"/>
      <w:sz w:val="24"/>
    </w:rPr>
  </w:style>
  <w:style w:type="paragraph" w:styleId="8">
    <w:name w:val="annotation text"/>
    <w:basedOn w:val="1"/>
    <w:link w:val="24"/>
    <w:qFormat/>
    <w:uiPriority w:val="0"/>
    <w:pPr>
      <w:jc w:val="left"/>
    </w:pPr>
  </w:style>
  <w:style w:type="paragraph" w:styleId="9">
    <w:name w:val="Body Text"/>
    <w:basedOn w:val="1"/>
    <w:link w:val="25"/>
    <w:qFormat/>
    <w:uiPriority w:val="0"/>
    <w:pPr>
      <w:spacing w:line="480" w:lineRule="exact"/>
    </w:pPr>
    <w:rPr>
      <w:rFonts w:eastAsia="仿宋_GB2312"/>
      <w:sz w:val="32"/>
    </w:rPr>
  </w:style>
  <w:style w:type="paragraph" w:styleId="10">
    <w:name w:val="Plain Text"/>
    <w:basedOn w:val="1"/>
    <w:qFormat/>
    <w:uiPriority w:val="0"/>
    <w:rPr>
      <w:rFonts w:ascii="宋体" w:hAnsi="Courier New" w:cs="Courier New"/>
      <w:szCs w:val="21"/>
    </w:rPr>
  </w:style>
  <w:style w:type="paragraph" w:styleId="11">
    <w:name w:val="Balloon Text"/>
    <w:basedOn w:val="1"/>
    <w:link w:val="26"/>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annotation subject"/>
    <w:basedOn w:val="8"/>
    <w:next w:val="8"/>
    <w:link w:val="28"/>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rFonts w:cs="Times New Roman"/>
      <w:b/>
      <w:bCs/>
    </w:rPr>
  </w:style>
  <w:style w:type="character" w:styleId="21">
    <w:name w:val="page number"/>
    <w:qFormat/>
    <w:uiPriority w:val="0"/>
    <w:rPr>
      <w:rFonts w:cs="Times New Roman"/>
    </w:rPr>
  </w:style>
  <w:style w:type="character" w:styleId="22">
    <w:name w:val="Hyperlink"/>
    <w:qFormat/>
    <w:uiPriority w:val="0"/>
    <w:rPr>
      <w:rFonts w:cs="Times New Roman"/>
      <w:color w:val="0000FF"/>
      <w:u w:val="single"/>
    </w:rPr>
  </w:style>
  <w:style w:type="character" w:styleId="23">
    <w:name w:val="annotation reference"/>
    <w:qFormat/>
    <w:uiPriority w:val="0"/>
    <w:rPr>
      <w:sz w:val="21"/>
      <w:szCs w:val="21"/>
    </w:rPr>
  </w:style>
  <w:style w:type="character" w:customStyle="1" w:styleId="24">
    <w:name w:val="批注文字 字符"/>
    <w:link w:val="8"/>
    <w:qFormat/>
    <w:uiPriority w:val="0"/>
    <w:rPr>
      <w:rFonts w:ascii="Calibri" w:hAnsi="Calibri"/>
      <w:kern w:val="2"/>
      <w:sz w:val="21"/>
      <w:szCs w:val="24"/>
    </w:rPr>
  </w:style>
  <w:style w:type="character" w:customStyle="1" w:styleId="25">
    <w:name w:val="正文文本 字符"/>
    <w:link w:val="9"/>
    <w:qFormat/>
    <w:uiPriority w:val="0"/>
    <w:rPr>
      <w:rFonts w:eastAsia="仿宋_GB2312"/>
      <w:kern w:val="2"/>
      <w:sz w:val="32"/>
      <w:szCs w:val="24"/>
    </w:rPr>
  </w:style>
  <w:style w:type="character" w:customStyle="1" w:styleId="26">
    <w:name w:val="批注框文本 字符"/>
    <w:link w:val="11"/>
    <w:qFormat/>
    <w:uiPriority w:val="0"/>
    <w:rPr>
      <w:rFonts w:ascii="Calibri" w:hAnsi="Calibri" w:eastAsia="宋体" w:cs="Times New Roman"/>
      <w:kern w:val="2"/>
      <w:sz w:val="18"/>
      <w:szCs w:val="18"/>
    </w:rPr>
  </w:style>
  <w:style w:type="character" w:customStyle="1" w:styleId="27">
    <w:name w:val="页脚 字符"/>
    <w:link w:val="12"/>
    <w:qFormat/>
    <w:uiPriority w:val="99"/>
    <w:rPr>
      <w:rFonts w:ascii="Calibri" w:hAnsi="Calibri" w:eastAsia="宋体" w:cs="Times New Roman"/>
      <w:kern w:val="2"/>
      <w:sz w:val="18"/>
      <w:szCs w:val="18"/>
    </w:rPr>
  </w:style>
  <w:style w:type="character" w:customStyle="1" w:styleId="28">
    <w:name w:val="批注主题 字符"/>
    <w:link w:val="16"/>
    <w:qFormat/>
    <w:uiPriority w:val="0"/>
    <w:rPr>
      <w:rFonts w:ascii="Calibri" w:hAnsi="Calibri"/>
      <w:b/>
      <w:bCs/>
      <w:kern w:val="2"/>
      <w:sz w:val="21"/>
      <w:szCs w:val="24"/>
    </w:rPr>
  </w:style>
  <w:style w:type="character" w:customStyle="1" w:styleId="29">
    <w:name w:val="页码1"/>
    <w:qFormat/>
    <w:uiPriority w:val="0"/>
    <w:rPr>
      <w:rFonts w:cs="Times New Roman"/>
    </w:rPr>
  </w:style>
  <w:style w:type="paragraph" w:customStyle="1" w:styleId="30">
    <w:name w:val="段"/>
    <w:qFormat/>
    <w:uiPriority w:val="99"/>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31">
    <w:name w:val="列出段落3"/>
    <w:basedOn w:val="1"/>
    <w:qFormat/>
    <w:uiPriority w:val="99"/>
    <w:pPr>
      <w:ind w:firstLine="420" w:firstLineChars="200"/>
    </w:pPr>
    <w:rPr>
      <w:rFonts w:cs="Calibri"/>
      <w:szCs w:val="21"/>
    </w:rPr>
  </w:style>
  <w:style w:type="paragraph" w:customStyle="1" w:styleId="32">
    <w:name w:val="列出段落1"/>
    <w:basedOn w:val="1"/>
    <w:qFormat/>
    <w:uiPriority w:val="99"/>
    <w:pPr>
      <w:ind w:firstLine="420" w:firstLineChars="200"/>
    </w:pPr>
    <w:rPr>
      <w:rFonts w:cs="Calibri"/>
      <w:szCs w:val="21"/>
    </w:rPr>
  </w:style>
  <w:style w:type="paragraph" w:customStyle="1" w:styleId="33">
    <w:name w:val="表头"/>
    <w:basedOn w:val="1"/>
    <w:qFormat/>
    <w:uiPriority w:val="0"/>
    <w:pPr>
      <w:widowControl/>
      <w:spacing w:line="440" w:lineRule="exact"/>
      <w:jc w:val="center"/>
    </w:pPr>
    <w:rPr>
      <w:rFonts w:ascii="黑体" w:hAnsi="黑体" w:eastAsia="黑体"/>
      <w:b/>
      <w:bCs/>
      <w:color w:val="000000"/>
      <w:kern w:val="0"/>
      <w:sz w:val="32"/>
      <w:szCs w:val="28"/>
    </w:rPr>
  </w:style>
  <w:style w:type="paragraph" w:customStyle="1" w:styleId="34">
    <w:name w:val="章标题"/>
    <w:next w:val="30"/>
    <w:qFormat/>
    <w:uiPriority w:val="0"/>
    <w:pPr>
      <w:numPr>
        <w:ilvl w:val="1"/>
        <w:numId w:val="1"/>
      </w:numPr>
      <w:spacing w:beforeLines="50" w:afterLines="50"/>
      <w:jc w:val="both"/>
      <w:outlineLvl w:val="1"/>
    </w:pPr>
    <w:rPr>
      <w:rFonts w:ascii="黑体" w:hAnsi="Calibri" w:eastAsia="黑体" w:cs="Times New Roman"/>
      <w:sz w:val="21"/>
      <w:szCs w:val="22"/>
      <w:lang w:val="en-US" w:eastAsia="zh-CN" w:bidi="ar-SA"/>
    </w:rPr>
  </w:style>
  <w:style w:type="paragraph" w:customStyle="1" w:styleId="35">
    <w:name w:val="一级条标题"/>
    <w:next w:val="30"/>
    <w:qFormat/>
    <w:uiPriority w:val="0"/>
    <w:pPr>
      <w:numPr>
        <w:ilvl w:val="2"/>
        <w:numId w:val="1"/>
      </w:numPr>
      <w:outlineLvl w:val="2"/>
    </w:pPr>
    <w:rPr>
      <w:rFonts w:ascii="Times New Roman" w:hAnsi="Times New Roman" w:eastAsia="黑体" w:cs="Times New Roman"/>
      <w:sz w:val="21"/>
      <w:szCs w:val="22"/>
      <w:lang w:val="en-US" w:eastAsia="zh-CN" w:bidi="ar-SA"/>
    </w:rPr>
  </w:style>
  <w:style w:type="paragraph" w:customStyle="1" w:styleId="36">
    <w:name w:val="二级条标题"/>
    <w:basedOn w:val="35"/>
    <w:next w:val="30"/>
    <w:qFormat/>
    <w:uiPriority w:val="0"/>
    <w:pPr>
      <w:numPr>
        <w:ilvl w:val="3"/>
        <w:numId w:val="1"/>
      </w:numPr>
      <w:outlineLvl w:val="3"/>
    </w:pPr>
  </w:style>
  <w:style w:type="table" w:customStyle="1" w:styleId="37">
    <w:name w:val="Table Normal"/>
    <w:unhideWhenUsed/>
    <w:qFormat/>
    <w:uiPriority w:val="0"/>
    <w:tblPr>
      <w:tblCellMar>
        <w:top w:w="0" w:type="dxa"/>
        <w:left w:w="0" w:type="dxa"/>
        <w:bottom w:w="0" w:type="dxa"/>
        <w:right w:w="0" w:type="dxa"/>
      </w:tblCellMar>
    </w:tblPr>
  </w:style>
  <w:style w:type="paragraph" w:customStyle="1" w:styleId="38">
    <w:name w:val="Table Text"/>
    <w:basedOn w:val="1"/>
    <w:semiHidden/>
    <w:qFormat/>
    <w:uiPriority w:val="0"/>
    <w:rPr>
      <w:rFonts w:ascii="FangSong_GB2312" w:hAnsi="FangSong_GB2312" w:eastAsia="FangSong_GB2312" w:cs="FangSong_GB2312"/>
      <w:sz w:val="23"/>
      <w:szCs w:val="23"/>
      <w:lang w:val="en-US" w:eastAsia="en-US" w:bidi="ar-SA"/>
    </w:rPr>
  </w:style>
  <w:style w:type="character" w:customStyle="1" w:styleId="39">
    <w:name w:val="fontstyle01"/>
    <w:basedOn w:val="19"/>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CFDA</Company>
  <Pages>15</Pages>
  <Words>5392</Words>
  <Characters>5725</Characters>
  <Lines>35</Lines>
  <Paragraphs>9</Paragraphs>
  <TotalTime>4</TotalTime>
  <ScaleCrop>false</ScaleCrop>
  <LinksUpToDate>false</LinksUpToDate>
  <CharactersWithSpaces>5833</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2022-02-10T13:57:00Z</dcterms:created>
  <dc:creator>11111</dc:creator>
  <cp:lastModifiedBy>uos</cp:lastModifiedBy>
  <cp:lastPrinted>2026-08-03T15:35:06Z</cp:lastPrinted>
  <dcterms:modified xsi:type="dcterms:W3CDTF">2026-08-03T15:39:16Z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211720D1ABAF457A9EED3AD871CD160B_13</vt:lpwstr>
  </property>
  <property fmtid="{D5CDD505-2E9C-101B-9397-08002B2CF9AE}" pid="4" name="KSOTemplateDocerSaveRecord">
    <vt:lpwstr>eyJoZGlkIjoiM2UxMTBhZWE1Yzg5Y2VhYzlhZGZmODQzNmVkY2JkZjkiLCJ1c2VySWQiOiIzMTk5NDk3MTEifQ==</vt:lpwstr>
  </property>
</Properties>
</file>