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酵母抽提物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 w:bidi="ar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核苷酸Ⅱ型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 w:bidi="ar"/>
        </w:rPr>
        <w:t>）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食品生产许可审查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方案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widowControl/>
        <w:jc w:val="center"/>
        <w:rPr>
          <w:b/>
          <w:bCs/>
          <w:sz w:val="32"/>
          <w:szCs w:val="32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第一章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总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则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第一条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为规范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酵母抽提物（核苷酸Ⅱ型）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食品生产许可活动，加强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酵母抽提物（核苷酸Ⅱ型）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食品安全监管，根据《中华人民共和国食品安全法》及其实施条例、《食品生产许可管理办法》等法律法规、规章和食品安全国家标准的规定，制定本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方案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  <w:t xml:space="preserve">第二条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本方案所称酵母抽提物（核苷酸Ⅱ型），是以食品加工用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破壁酵母抽提物和核糖核酸为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主要原料，在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核酸酶和腺苷酸脱氨酶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作用下，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经酶反应、喷雾干燥、包装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，得到的含有氨基酸、核苷酸等成分的产品，属于食品配料。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第三条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酵母抽提物（核苷酸Ⅱ型）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的申证类别为其他食品，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酵母抽提物（核苷酸Ⅱ型）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生产许可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类别为其他食品，类别编号为3101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类别名称为其他食品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</w:t>
      </w:r>
    </w:p>
    <w:p>
      <w:pPr>
        <w:widowControl/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产品执行标准为</w:t>
      </w:r>
      <w:bookmarkStart w:id="0" w:name="OLE_LINK1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《酵母产品质量要求 第2部分：酵母加工制品》（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GB/T20886.2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）</w:t>
      </w:r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第四条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本方案应与《食品生产许可审查通则》结合使用，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适用于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酵母抽提物（核苷酸Ⅱ型）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食品生产许可审查工作。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  <w:t xml:space="preserve">第五条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本方案中引用的文件、标准通过引用成为本方案的内容。凡是引用文件、标准，其最新版本（包括所有的修改单）适用于本方案。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numPr>
          <w:ilvl w:val="0"/>
          <w:numId w:val="1"/>
        </w:numPr>
        <w:jc w:val="center"/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生产场所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核查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第六条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厂区、厂房和车间、库房符合《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食品安全国家标准 食品生产卫生通用规范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GB14881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的相关规定，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与公司已有核酸酶等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食品添加剂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生产场所严格分隔，人流、物流走向合理，有效避免污染。</w:t>
      </w:r>
    </w:p>
    <w:p>
      <w:pPr>
        <w:widowControl/>
        <w:ind w:firstLine="562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第七条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有与企业生产能力相适应的生产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场所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和辅助设施。生产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场所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包括原料处理及酶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反应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车间、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干燥车间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以及成品包装车间等。辅助设施包括水处理车间、动力车间、检验室、原料仓库、包材仓库、成品仓库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卫生设施和照明设施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生产场所与设备设施布局合理，便于卫生管理和清洗、消毒。</w:t>
      </w:r>
    </w:p>
    <w:p>
      <w:pPr>
        <w:widowControl/>
        <w:ind w:firstLine="562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第八条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生产车间按照生产流程、生产操作需要和清洁度要求划分为清洁作业区和一般作业区，喷雾干燥和包装生产区为清洁作业区。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第九条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进入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生产车间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应规范穿着洁净的工作服，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戴头套，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并按要求洗手、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干手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进入清洁作业区需二次更衣、换鞋，并洗手、干手和消毒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第三章 设备设施核查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>第十条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酵母抽提物（核苷酸Ⅱ型）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生产设备和设施按工艺需要配备，包括：原料储存设施、酶反应釜、干燥设备、包装设备和检测仪器。</w:t>
      </w:r>
    </w:p>
    <w:p>
      <w:pPr>
        <w:widowControl/>
        <w:ind w:firstLine="562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第十一条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原料、过程产品、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成品直接接触的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设备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器具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为不锈钢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材质，易于清洁和保养。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第十二条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根据生产需要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设置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排水设施和废水处理设施，排水流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向由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清洁作业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区域流向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一般作业区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，清洁作业区排水系统入口安装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带水封的地漏，并有防止废水逆流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的设施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。</w:t>
      </w:r>
    </w:p>
    <w:p>
      <w:pPr>
        <w:widowControl/>
        <w:ind w:firstLine="562" w:firstLineChars="20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 xml:space="preserve">第十三条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设置有专门的废弃物存放设施，生产加工过程产生的废弃物定点存放，并委托有资质的第三方公司处理。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 xml:space="preserve">第十四条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企业自行检测出厂检验项目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包括感官、总氮、核苷酸含量和各核苷酸含量比值，出厂检验项目氯化钠委托有资质的第三方实验室检测。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 xml:space="preserve"> 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检验室布局合理，检验设备的数量、性能、精度等满足检验需求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检验仪器设备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定期检定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。检验设备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包括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：天平（0.1g）、分析天平（0.1mg）、凯氏定氮仪、干燥箱、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高效液相色谱仪、纯水机等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 xml:space="preserve"> 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widowControl/>
        <w:jc w:val="center"/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第四章 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设备布局与工艺流程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生产设备的布局与产品工艺流程相符，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避免交叉污染。生产设备的布局、安装和维护符合工艺需要，便于操作、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维护、清洁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和消毒。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基本生产工艺流程： 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原料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溶解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→酶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反应1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→酶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反应2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→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喷雾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 xml:space="preserve">干燥→包装 </w:t>
      </w:r>
    </w:p>
    <w:p>
      <w:pPr>
        <w:widowControl/>
        <w:ind w:firstLine="560" w:firstLineChars="200"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注：酶反应1：核酸酶将核糖核酸酶解转化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为核苷酸</w:t>
      </w:r>
    </w:p>
    <w:p>
      <w:pPr>
        <w:widowControl/>
        <w:ind w:firstLine="560" w:firstLineChars="200"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酶反应2：腺苷酸脱氨酶将腺苷酸转化为肌苷酸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键控制点技术参数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酶反应1温度为70±1℃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，时间5h-6h；</w:t>
      </w:r>
    </w:p>
    <w:p>
      <w:pPr>
        <w:widowControl/>
        <w:ind w:firstLine="560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                  酶反应2温度为40±1℃，时间12h-13h</w:t>
      </w:r>
    </w:p>
    <w:p>
      <w:pPr>
        <w:widowControl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lang w:bidi="ar"/>
        </w:rPr>
      </w:pPr>
    </w:p>
    <w:p>
      <w:pPr>
        <w:widowControl/>
        <w:jc w:val="center"/>
        <w:rPr>
          <w:b/>
          <w:bCs/>
          <w:sz w:val="32"/>
          <w:szCs w:val="32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第五章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人员管理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食品安全管理人员、食品安全专业技术人员、检验人员、生产人员必须取得健康合格证明后方可上岗工作，每年进行一次健康检查。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八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企业每年制定员工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培训计划，按照计划开展培训，并有相关的培训及考核记录。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食品安全总监、食品安全员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上岗前经过培训，考核合格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并有任命书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widowControl/>
        <w:ind w:firstLine="562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十九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企业配备有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相关专业和经验的研发人员、检验人员、生产管理人员与技术人员。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企业质量负责人和食品安全管理人员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有食品或相关专业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专科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以上学历，并具有3年以上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工作经历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掌握食品安全和质量管理知识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。生产管理人员、技术人员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有食品或相关专业专科以上学历，并具有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年以上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工作经历。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技术开发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具有生物发酵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生物工程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或相关专业本科以上学历，掌握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生物发酵、酶转化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和质量安全等相关专业知识。产品检测人员具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有食品、化学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生物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或相关专业专科以上的学历，或者具有5年以上食品检测工作经历，经过专业培训，考核合格。</w:t>
      </w:r>
    </w:p>
    <w:p>
      <w:pPr>
        <w:widowControl/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widowControl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第六章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管理制度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第二十条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建立进货查验记录制度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所用原料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都为食品级，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原辅料及包材符合相应的国家法律法规、标准要求。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制定主要原料供应商的管理制度、审核制度。对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酵母抽提物、核糖核酸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主要原料及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食品级氢氧化钠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供应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商的审核内容至少包括：供应商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评估问卷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、资质证明文件、质量安全标准、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供方自检报告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型检报告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80" w:lineRule="atLeast"/>
        <w:ind w:left="0" w:right="0" w:firstLine="51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第二十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建立生产过程管理制度，对生产过程中关键控制环节的质量安全进行管控。制定清场管理制度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各生产工序在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每批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生产结束后，对现场进行清场并记录。清场工作包括剩余物料的处理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品的处理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废弃物的处理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生产用具的处理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外包工序的清场。记录内容包括：工序、品名、生产批次、清场时间、检查项目及结果等，清场负责人及复查人在记录上签名，同时对清场的结果进行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检查确认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80" w:lineRule="atLeast"/>
        <w:ind w:left="0" w:right="0" w:firstLine="51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制定清洁管理制度。各生产工序在生产结束后、下次生产前，对车间环境、设备设施、工服和人员进行清洁、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消毒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并记录。记录内容包括：清洁对象、清洁方式、清洁时间、效果确认等。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80" w:lineRule="atLeast"/>
        <w:ind w:left="0" w:right="0" w:firstLine="51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制定食品添加剂使用管理制度。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酵母抽提物（核苷酸Ⅱ型）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生产过程中食品添加剂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氢氧化钠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的使用符合《食品安全国家标准 食品添加使用标准》（GB 2760）中允许使用的食品添加剂种类和添加量。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第二十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建立出厂检验记录制度，产品出厂检验依据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《酵母产品质量要求 第2部分：酵母加工制品》（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GB/T20886.2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）中酵母抽提物（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核苷酸Ⅱ型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）指标要求进行，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标准规定的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出厂检验项目中，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感官、总氮、核苷酸含量和各核苷酸含量比值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自行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逐批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检验，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氯化钠委托有合法资质的检测机构进行检验，并出具检验报告。</w:t>
      </w: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条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建立技术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管理制度，并配备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技术开发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人员。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技术开发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部具备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技术转化和技术优化能力，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并制定完善的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技术管理、技术转化和技术优化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制度及流程。</w:t>
      </w:r>
    </w:p>
    <w:p>
      <w:pPr>
        <w:widowControl/>
        <w:ind w:firstLine="562" w:firstLineChars="200"/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>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 xml:space="preserve">条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建立企业食品安全主体责任落实管理制度，明确企业主要负责人、食品安全总监和食品安全员等岗位职责，制定企业食品安全风险管控清单，开展日管控、周排查、月调度工作机制，对公司食品安全风险防控实行动态管控。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widowControl/>
        <w:jc w:val="center"/>
        <w:rPr>
          <w:b/>
          <w:bCs/>
          <w:sz w:val="32"/>
          <w:szCs w:val="32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第七章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试制产品检验</w:t>
      </w:r>
    </w:p>
    <w:p>
      <w:pPr>
        <w:widowControl/>
        <w:ind w:firstLine="562" w:firstLineChars="2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二十五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企业申报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酵母抽提物（核苷酸Ⅱ型）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产品，试制产品检测报告合格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，检验项目包含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《酵母产品质量要求 第2部分：酵母加工制品》（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GB/T20886.2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标准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规定的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该产品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全部项目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widowControl/>
        <w:jc w:val="both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widowControl/>
        <w:jc w:val="center"/>
        <w:rPr>
          <w:b/>
          <w:bCs/>
          <w:sz w:val="32"/>
          <w:szCs w:val="32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第八章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附则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二十六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本方案由南京同凯兆业生物技术有限责任公司负责解释。</w:t>
      </w:r>
    </w:p>
    <w:p>
      <w:pPr>
        <w:widowControl/>
        <w:jc w:val="left"/>
        <w:rPr>
          <w:b/>
          <w:bCs/>
        </w:rPr>
      </w:pPr>
    </w:p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D8C20"/>
    <w:multiLevelType w:val="singleLevel"/>
    <w:tmpl w:val="900D8C20"/>
    <w:lvl w:ilvl="0" w:tentative="0">
      <w:start w:val="2"/>
      <w:numFmt w:val="chineseCounting"/>
      <w:suff w:val="space"/>
      <w:lvlText w:val="第%1章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Y2U1YTc0MDZkYTA1ZjI5ZWZlNmQzMDczMjMzOTgifQ=="/>
  </w:docVars>
  <w:rsids>
    <w:rsidRoot w:val="00D0035F"/>
    <w:rsid w:val="00107FD7"/>
    <w:rsid w:val="001F7728"/>
    <w:rsid w:val="00205D68"/>
    <w:rsid w:val="0026408B"/>
    <w:rsid w:val="003F5099"/>
    <w:rsid w:val="0040164C"/>
    <w:rsid w:val="007202F1"/>
    <w:rsid w:val="007A6F63"/>
    <w:rsid w:val="008330B8"/>
    <w:rsid w:val="00A65682"/>
    <w:rsid w:val="00CC4F53"/>
    <w:rsid w:val="00D0035F"/>
    <w:rsid w:val="00D11EB5"/>
    <w:rsid w:val="02190564"/>
    <w:rsid w:val="02FD62ED"/>
    <w:rsid w:val="04155920"/>
    <w:rsid w:val="04AB3B8E"/>
    <w:rsid w:val="05297B13"/>
    <w:rsid w:val="0560632D"/>
    <w:rsid w:val="06076A28"/>
    <w:rsid w:val="07497353"/>
    <w:rsid w:val="07BC4304"/>
    <w:rsid w:val="080B22FF"/>
    <w:rsid w:val="083B6F21"/>
    <w:rsid w:val="088462F5"/>
    <w:rsid w:val="08C77405"/>
    <w:rsid w:val="090E6DE2"/>
    <w:rsid w:val="097A07E5"/>
    <w:rsid w:val="0994718E"/>
    <w:rsid w:val="0A0F5346"/>
    <w:rsid w:val="0A541755"/>
    <w:rsid w:val="0A5C5457"/>
    <w:rsid w:val="0B9C43DF"/>
    <w:rsid w:val="0D474EC2"/>
    <w:rsid w:val="0D576FA9"/>
    <w:rsid w:val="0FC76CD6"/>
    <w:rsid w:val="0FFE1A50"/>
    <w:rsid w:val="0FFE370C"/>
    <w:rsid w:val="10B93AD7"/>
    <w:rsid w:val="111E3C0D"/>
    <w:rsid w:val="112453F4"/>
    <w:rsid w:val="1222745A"/>
    <w:rsid w:val="123D6042"/>
    <w:rsid w:val="136715C8"/>
    <w:rsid w:val="14DF53CE"/>
    <w:rsid w:val="15787ABD"/>
    <w:rsid w:val="16407743"/>
    <w:rsid w:val="16466CE3"/>
    <w:rsid w:val="16F615E1"/>
    <w:rsid w:val="1724670C"/>
    <w:rsid w:val="17403120"/>
    <w:rsid w:val="186E33F9"/>
    <w:rsid w:val="19241D0A"/>
    <w:rsid w:val="19A8319C"/>
    <w:rsid w:val="19A96D61"/>
    <w:rsid w:val="1A4B579C"/>
    <w:rsid w:val="1BC872C4"/>
    <w:rsid w:val="1BCF6FEE"/>
    <w:rsid w:val="1C166281"/>
    <w:rsid w:val="1C1918CE"/>
    <w:rsid w:val="1C24274C"/>
    <w:rsid w:val="1CB95703"/>
    <w:rsid w:val="1D320E99"/>
    <w:rsid w:val="1D884F5D"/>
    <w:rsid w:val="1DCA10D2"/>
    <w:rsid w:val="1E02602F"/>
    <w:rsid w:val="1F44032C"/>
    <w:rsid w:val="1FAB0A8F"/>
    <w:rsid w:val="20A51982"/>
    <w:rsid w:val="20AC2D10"/>
    <w:rsid w:val="21671A1E"/>
    <w:rsid w:val="21902632"/>
    <w:rsid w:val="22681675"/>
    <w:rsid w:val="23614AB6"/>
    <w:rsid w:val="242226C1"/>
    <w:rsid w:val="24E312C4"/>
    <w:rsid w:val="25D80104"/>
    <w:rsid w:val="26100332"/>
    <w:rsid w:val="269B7C42"/>
    <w:rsid w:val="26C7704E"/>
    <w:rsid w:val="28173165"/>
    <w:rsid w:val="286348B4"/>
    <w:rsid w:val="28C52976"/>
    <w:rsid w:val="2A7C19A5"/>
    <w:rsid w:val="2CE101E6"/>
    <w:rsid w:val="2DE75388"/>
    <w:rsid w:val="2E2E745B"/>
    <w:rsid w:val="2EC1207D"/>
    <w:rsid w:val="2EFC4E63"/>
    <w:rsid w:val="2F7C3AE7"/>
    <w:rsid w:val="2F7E03B9"/>
    <w:rsid w:val="2FD76D4A"/>
    <w:rsid w:val="302A5A00"/>
    <w:rsid w:val="306C449A"/>
    <w:rsid w:val="30BE083D"/>
    <w:rsid w:val="326B089C"/>
    <w:rsid w:val="32AB107A"/>
    <w:rsid w:val="33010C9A"/>
    <w:rsid w:val="335909FC"/>
    <w:rsid w:val="335F00B6"/>
    <w:rsid w:val="338A4629"/>
    <w:rsid w:val="34152F31"/>
    <w:rsid w:val="347100A1"/>
    <w:rsid w:val="35BF102F"/>
    <w:rsid w:val="35E52AF5"/>
    <w:rsid w:val="36394D28"/>
    <w:rsid w:val="36D668E1"/>
    <w:rsid w:val="37920A5A"/>
    <w:rsid w:val="37B47F1C"/>
    <w:rsid w:val="37FF7772"/>
    <w:rsid w:val="392A081F"/>
    <w:rsid w:val="398409F8"/>
    <w:rsid w:val="399860D0"/>
    <w:rsid w:val="3A531682"/>
    <w:rsid w:val="3B84739B"/>
    <w:rsid w:val="3BA26FE5"/>
    <w:rsid w:val="3C4D31A2"/>
    <w:rsid w:val="3D141F11"/>
    <w:rsid w:val="3D65276D"/>
    <w:rsid w:val="3D6764E5"/>
    <w:rsid w:val="3D803103"/>
    <w:rsid w:val="3DC70D32"/>
    <w:rsid w:val="3DE03BA2"/>
    <w:rsid w:val="3DF24001"/>
    <w:rsid w:val="3E047890"/>
    <w:rsid w:val="3E725142"/>
    <w:rsid w:val="3ED41958"/>
    <w:rsid w:val="3F636838"/>
    <w:rsid w:val="3FA4757D"/>
    <w:rsid w:val="408A49C4"/>
    <w:rsid w:val="41151937"/>
    <w:rsid w:val="41326E0A"/>
    <w:rsid w:val="41CE4E2A"/>
    <w:rsid w:val="428F1DE0"/>
    <w:rsid w:val="464E20DC"/>
    <w:rsid w:val="46584C1D"/>
    <w:rsid w:val="46DF5220"/>
    <w:rsid w:val="46EC072B"/>
    <w:rsid w:val="47F70825"/>
    <w:rsid w:val="48230890"/>
    <w:rsid w:val="49A40179"/>
    <w:rsid w:val="49CB1BAA"/>
    <w:rsid w:val="49DC5046"/>
    <w:rsid w:val="49F4304B"/>
    <w:rsid w:val="4A8211C7"/>
    <w:rsid w:val="4C1930A0"/>
    <w:rsid w:val="4C976318"/>
    <w:rsid w:val="4CD67C42"/>
    <w:rsid w:val="4E431F7C"/>
    <w:rsid w:val="4E940495"/>
    <w:rsid w:val="4EFA0F67"/>
    <w:rsid w:val="508A00C9"/>
    <w:rsid w:val="51705511"/>
    <w:rsid w:val="51A76A58"/>
    <w:rsid w:val="52AF4ED5"/>
    <w:rsid w:val="52BC4786"/>
    <w:rsid w:val="537F081D"/>
    <w:rsid w:val="53DC15C5"/>
    <w:rsid w:val="54813591"/>
    <w:rsid w:val="56A31EE4"/>
    <w:rsid w:val="56AB6FEB"/>
    <w:rsid w:val="576E7A69"/>
    <w:rsid w:val="57835872"/>
    <w:rsid w:val="588B08FF"/>
    <w:rsid w:val="588B2C30"/>
    <w:rsid w:val="58C1766C"/>
    <w:rsid w:val="59060509"/>
    <w:rsid w:val="597436C4"/>
    <w:rsid w:val="5A47527D"/>
    <w:rsid w:val="5A4B6B1B"/>
    <w:rsid w:val="5AC8016B"/>
    <w:rsid w:val="5C5477DD"/>
    <w:rsid w:val="5C693288"/>
    <w:rsid w:val="5C734107"/>
    <w:rsid w:val="5D413B33"/>
    <w:rsid w:val="5D5A7F71"/>
    <w:rsid w:val="5D8D744A"/>
    <w:rsid w:val="5E253221"/>
    <w:rsid w:val="5E2677D4"/>
    <w:rsid w:val="5F20276A"/>
    <w:rsid w:val="6028589E"/>
    <w:rsid w:val="613A6544"/>
    <w:rsid w:val="616323AE"/>
    <w:rsid w:val="61FE0917"/>
    <w:rsid w:val="6388493C"/>
    <w:rsid w:val="63D86F45"/>
    <w:rsid w:val="64296F6B"/>
    <w:rsid w:val="64A70DF2"/>
    <w:rsid w:val="652341F0"/>
    <w:rsid w:val="65605444"/>
    <w:rsid w:val="65905D2A"/>
    <w:rsid w:val="65E676F8"/>
    <w:rsid w:val="65F551B6"/>
    <w:rsid w:val="667E2026"/>
    <w:rsid w:val="67EE3F38"/>
    <w:rsid w:val="696C3DC2"/>
    <w:rsid w:val="6A0B3BD1"/>
    <w:rsid w:val="6A0C16F7"/>
    <w:rsid w:val="6A440E91"/>
    <w:rsid w:val="6A7F2406"/>
    <w:rsid w:val="6B2D5DC9"/>
    <w:rsid w:val="6C3C2767"/>
    <w:rsid w:val="6CB23185"/>
    <w:rsid w:val="6CCA7D73"/>
    <w:rsid w:val="6D2512E5"/>
    <w:rsid w:val="6D8B5ABC"/>
    <w:rsid w:val="6DA93E2C"/>
    <w:rsid w:val="6EF54E4F"/>
    <w:rsid w:val="6F287BE5"/>
    <w:rsid w:val="6F6049BF"/>
    <w:rsid w:val="6FD1588E"/>
    <w:rsid w:val="70715328"/>
    <w:rsid w:val="70D50A94"/>
    <w:rsid w:val="71290DE0"/>
    <w:rsid w:val="714B0197"/>
    <w:rsid w:val="718B17B7"/>
    <w:rsid w:val="71A602FD"/>
    <w:rsid w:val="72E94CCB"/>
    <w:rsid w:val="73025D8D"/>
    <w:rsid w:val="7431692A"/>
    <w:rsid w:val="74FB609D"/>
    <w:rsid w:val="75B96BD7"/>
    <w:rsid w:val="767B3701"/>
    <w:rsid w:val="76EC7C28"/>
    <w:rsid w:val="772C162A"/>
    <w:rsid w:val="77EC3430"/>
    <w:rsid w:val="77F969E7"/>
    <w:rsid w:val="780A371A"/>
    <w:rsid w:val="785B3F75"/>
    <w:rsid w:val="789456D9"/>
    <w:rsid w:val="79BC4EE7"/>
    <w:rsid w:val="79C00405"/>
    <w:rsid w:val="7AB21E46"/>
    <w:rsid w:val="7AE76D63"/>
    <w:rsid w:val="7B144519"/>
    <w:rsid w:val="7C7B2E38"/>
    <w:rsid w:val="7CE672BF"/>
    <w:rsid w:val="7DA40C8B"/>
    <w:rsid w:val="7DD02D0F"/>
    <w:rsid w:val="7E4C610E"/>
    <w:rsid w:val="7F11771D"/>
    <w:rsid w:val="7F791185"/>
    <w:rsid w:val="7FBD3767"/>
    <w:rsid w:val="7FC7198C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2637</Words>
  <Characters>2699</Characters>
  <Lines>39</Lines>
  <Paragraphs>11</Paragraphs>
  <TotalTime>37</TotalTime>
  <ScaleCrop>false</ScaleCrop>
  <LinksUpToDate>false</LinksUpToDate>
  <CharactersWithSpaces>2769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2024-06-03T01:44:00Z</dcterms:created>
  <dc:creator>lcl</dc:creator>
  <cp:lastModifiedBy>土豆</cp:lastModifiedBy>
  <dcterms:modified xsi:type="dcterms:W3CDTF">2024-07-30T02:53:39Z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5EFE5C2319B04D67BBEE2B73C439A79A_12</vt:lpwstr>
  </property>
</Properties>
</file>