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440" w:hanging="320" w:hangingChars="1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南京市地方标准编制说明编写提纲</w:t>
      </w:r>
    </w:p>
    <w:bookmarkEnd w:id="0"/>
    <w:p>
      <w:pPr>
        <w:spacing w:line="6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一、目的和意义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简述发展现状，制定标准的必要性、可行性，预期经济社会效益分析等。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二、任务来源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立项文件。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三、编制过程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按时间节点或工作进度简述编制过程。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四、主要内容技术指标确立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简述标准主要内容技术指标确定的依据，如实地调研、查阅资料、试验论证等。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五、差异对比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修订标准应列出新旧标准的主要差异情况对比（非修订标准不写该条）。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六、与相关法律法规和国家标准、行业标准、江苏省地方标准的关系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简述标准技术内容与相关法律法规的关系，与现行相关国家标准、行业标准、江苏省地方标准的关系。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七、重大分歧意见的处理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如有重大分歧，简述存在重大分歧的各方意见、协调经过、协调结果和依据。</w:t>
      </w:r>
    </w:p>
    <w:p>
      <w:pPr>
        <w:spacing w:line="48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八、实施推广建议</w:t>
      </w:r>
    </w:p>
    <w:p>
      <w:pPr>
        <w:spacing w:line="480" w:lineRule="exact"/>
        <w:ind w:firstLine="600" w:firstLineChars="200"/>
        <w:rPr>
          <w:rFonts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871" w:left="1588" w:header="851" w:footer="1418" w:gutter="0"/>
          <w:pgNumType w:fmt="numberInDash"/>
          <w:cols w:space="425" w:num="1"/>
          <w:docGrid w:type="lines" w:linePitch="577" w:charSpace="-15"/>
        </w:sectPr>
      </w:pPr>
      <w:r>
        <w:rPr>
          <w:rFonts w:eastAsia="仿宋_GB2312"/>
          <w:sz w:val="30"/>
          <w:szCs w:val="30"/>
        </w:rPr>
        <w:t>简述贯彻标准</w:t>
      </w:r>
      <w:r>
        <w:rPr>
          <w:rFonts w:eastAsia="仿宋_GB2312"/>
          <w:sz w:val="32"/>
          <w:szCs w:val="32"/>
        </w:rPr>
        <w:t>的措施、建议、注意事项等。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15" w:rightChars="150" w:firstLine="560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- 9 -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0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2021-09-07T01:59:08Z</dcterms:created>
  <dc:creator>Administrator</dc:creator>
  <cp:lastModifiedBy>Administrator</cp:lastModifiedBy>
  <dcterms:modified xsi:type="dcterms:W3CDTF">2021-09-07T01:59:25Z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6F93BEB6486C4FA788589E82F55FC251</vt:lpwstr>
  </property>
</Properties>
</file>